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39" w:rsidRDefault="00ED1139" w:rsidP="005B2D2D">
      <w:pPr>
        <w:spacing w:before="120" w:after="120"/>
        <w:rPr>
          <w:b/>
          <w:sz w:val="36"/>
          <w:szCs w:val="36"/>
        </w:rPr>
      </w:pPr>
      <w:r>
        <w:rPr>
          <w:b/>
          <w:sz w:val="36"/>
          <w:szCs w:val="36"/>
        </w:rPr>
        <w:t xml:space="preserve">Datenblatt: Einwilligung nach Aufklärung – Richtlinien </w:t>
      </w:r>
    </w:p>
    <w:p w:rsidR="005B2D2D" w:rsidRDefault="005B2D2D" w:rsidP="007A0501"/>
    <w:p w:rsidR="007A0501" w:rsidRDefault="00525650" w:rsidP="00525650">
      <w:pPr>
        <w:spacing w:line="360" w:lineRule="auto"/>
        <w:rPr>
          <w:sz w:val="22"/>
        </w:rPr>
      </w:pPr>
      <w:r>
        <w:rPr>
          <w:sz w:val="22"/>
        </w:rPr>
        <w:t xml:space="preserve">Bevor ein Teilnehmer in eine klinische Studie aufgenommen werden kann, muss er im Hinblick auf seine Eignung für die Teilnahme gemäß den im Prüfplan definierten Kriterien gescreent werden. Nach dem Screening sollten geeignete Teilnehmer ein Aufklärungsgespräch mit einem Vertreter des Sponsors erhalten. Während des Aufklärungsgesprächs sollte der Teilnehmer über den Zweck und den potenziellen Nutzen sowie potenzielle Risiken einer Studie aufgeklärt werden, bevor er darüber entscheidet, ob er teilnehmen möchte oder nicht. </w:t>
      </w:r>
    </w:p>
    <w:p w:rsidR="00525650" w:rsidRDefault="00525650" w:rsidP="00525650">
      <w:pPr>
        <w:spacing w:line="360" w:lineRule="auto"/>
        <w:rPr>
          <w:b/>
          <w:sz w:val="24"/>
        </w:rPr>
      </w:pPr>
    </w:p>
    <w:p w:rsidR="00525650" w:rsidRDefault="00525650" w:rsidP="00525650">
      <w:pPr>
        <w:spacing w:line="360" w:lineRule="auto"/>
        <w:rPr>
          <w:b/>
          <w:sz w:val="28"/>
          <w:szCs w:val="28"/>
        </w:rPr>
      </w:pPr>
      <w:r>
        <w:rPr>
          <w:b/>
          <w:sz w:val="28"/>
        </w:rPr>
        <w:t>Richtlinie</w:t>
      </w:r>
      <w:r>
        <w:rPr>
          <w:b/>
          <w:sz w:val="28"/>
          <w:szCs w:val="28"/>
        </w:rPr>
        <w:t>n und Sicherheitsklauseln für Teilnehmer</w:t>
      </w:r>
    </w:p>
    <w:p w:rsidR="006B3430" w:rsidRDefault="006B3430" w:rsidP="00525650">
      <w:pPr>
        <w:spacing w:line="360" w:lineRule="auto"/>
        <w:rPr>
          <w:sz w:val="22"/>
          <w:szCs w:val="28"/>
        </w:rPr>
      </w:pPr>
      <w:bookmarkStart w:id="0" w:name="_GoBack"/>
      <w:r>
        <w:rPr>
          <w:sz w:val="22"/>
          <w:szCs w:val="28"/>
        </w:rPr>
        <w:t xml:space="preserve">Das Verfahren zur Rekrutierung von Patienten und der Einwilligung nach Aufklärung wird wie der übrige Prozess der Arzneimittelentwicklung von Verordnungen geregelt und unterliegt einer Überprüfung, um die Rechte, die Sicherheit und das Wohlbefinden der Teilnehmer sicherzustellen. </w:t>
      </w:r>
    </w:p>
    <w:bookmarkEnd w:id="0"/>
    <w:p w:rsidR="006B3430" w:rsidRPr="00023DBD" w:rsidRDefault="006B3430" w:rsidP="006B3430">
      <w:pPr>
        <w:pStyle w:val="ListParagraph"/>
        <w:numPr>
          <w:ilvl w:val="0"/>
          <w:numId w:val="12"/>
        </w:numPr>
        <w:spacing w:line="360" w:lineRule="auto"/>
        <w:rPr>
          <w:rFonts w:ascii="Arial" w:hAnsi="Arial" w:cs="Arial"/>
          <w:b/>
          <w:szCs w:val="28"/>
        </w:rPr>
      </w:pPr>
      <w:r>
        <w:rPr>
          <w:b/>
          <w:szCs w:val="28"/>
          <w:rFonts w:ascii="Arial" w:hAnsi="Arial" w:cs="Arial"/>
        </w:rPr>
        <w:t>Wissenschaftliche Überprüfung</w:t>
      </w:r>
      <w:r>
        <w:rPr>
          <w:b/>
          <w:szCs w:val="28"/>
          <w:rFonts w:ascii="Arial" w:hAnsi="Arial" w:cs="Arial"/>
        </w:rPr>
        <w:br/>
      </w:r>
      <w:r>
        <w:rPr>
          <w:szCs w:val="28"/>
          <w:rFonts w:ascii="Arial" w:hAnsi="Arial" w:cs="Arial"/>
        </w:rPr>
        <w:t>Um zu garantieren, dass die Teilnehmer während einer Studie geschützt sind, wird der Prüfplan im Zuge eines Antrags zur klinischen Prüfung bei den zuständigen nationalen Behörden eingereicht, die die wissenschaftlichen Bewertungen durchführen. Sie überprüfen und überwachen klinische Prüfpläne, um sicherzustellen, dass die klinischen Studien wissenschaftlich fundiert sind – ob zum Beispiel die gestellte wissenschaftliche Frage zu Ende der Studie zu einer Verbesserung der Patientenversorgung führt. Der Ausschuss führt außerdem Folgendes durch:</w:t>
      </w:r>
    </w:p>
    <w:p w:rsidR="00023DBD" w:rsidRPr="00023DBD" w:rsidRDefault="00023DBD" w:rsidP="00023DBD">
      <w:pPr>
        <w:pStyle w:val="ListParagraph"/>
        <w:numPr>
          <w:ilvl w:val="1"/>
          <w:numId w:val="12"/>
        </w:numPr>
        <w:spacing w:line="360" w:lineRule="auto"/>
        <w:rPr>
          <w:rFonts w:ascii="Arial" w:hAnsi="Arial" w:cs="Arial"/>
          <w:b/>
          <w:szCs w:val="28"/>
        </w:rPr>
      </w:pPr>
      <w:r>
        <w:rPr>
          <w:szCs w:val="28"/>
          <w:rFonts w:ascii="Arial" w:hAnsi="Arial" w:cs="Arial"/>
        </w:rPr>
        <w:t>Er beurteilt, ob die verwendeten Methoden zur Datenerhebung angemessen sind.</w:t>
      </w:r>
    </w:p>
    <w:p w:rsidR="00023DBD" w:rsidRPr="00023DBD" w:rsidRDefault="00023DBD" w:rsidP="00023DBD">
      <w:pPr>
        <w:pStyle w:val="ListParagraph"/>
        <w:numPr>
          <w:ilvl w:val="1"/>
          <w:numId w:val="12"/>
        </w:numPr>
        <w:spacing w:line="360" w:lineRule="auto"/>
        <w:rPr>
          <w:rFonts w:ascii="Arial" w:hAnsi="Arial" w:cs="Arial"/>
          <w:b/>
          <w:szCs w:val="28"/>
        </w:rPr>
      </w:pPr>
      <w:r>
        <w:rPr>
          <w:szCs w:val="28"/>
          <w:rFonts w:ascii="Arial" w:hAnsi="Arial" w:cs="Arial"/>
        </w:rPr>
        <w:t>Er bestimmt, ob die richtigen Patienten in die Studie aufgenommen werden.</w:t>
      </w:r>
    </w:p>
    <w:p w:rsidR="00023DBD" w:rsidRPr="00023DBD" w:rsidRDefault="00023DBD" w:rsidP="00023DBD">
      <w:pPr>
        <w:pStyle w:val="ListParagraph"/>
        <w:numPr>
          <w:ilvl w:val="1"/>
          <w:numId w:val="12"/>
        </w:numPr>
        <w:spacing w:line="360" w:lineRule="auto"/>
        <w:rPr>
          <w:rFonts w:ascii="Arial" w:hAnsi="Arial" w:cs="Arial"/>
          <w:b/>
          <w:szCs w:val="28"/>
        </w:rPr>
      </w:pPr>
      <w:r>
        <w:rPr>
          <w:szCs w:val="28"/>
          <w:rFonts w:ascii="Arial" w:hAnsi="Arial" w:cs="Arial"/>
        </w:rPr>
        <w:t>Er prüft die Personen, die die Studie durchführen, um sicherzustellen, dass sie entsprechend qualifiziert sind.</w:t>
      </w:r>
    </w:p>
    <w:p w:rsidR="00023DBD" w:rsidRPr="00023DBD" w:rsidRDefault="00023DBD" w:rsidP="00023DBD">
      <w:pPr>
        <w:pStyle w:val="ListParagraph"/>
        <w:numPr>
          <w:ilvl w:val="1"/>
          <w:numId w:val="12"/>
        </w:numPr>
        <w:spacing w:line="360" w:lineRule="auto"/>
        <w:rPr>
          <w:rFonts w:ascii="Arial" w:hAnsi="Arial" w:cs="Arial"/>
          <w:b/>
          <w:szCs w:val="28"/>
        </w:rPr>
      </w:pPr>
      <w:r>
        <w:rPr>
          <w:szCs w:val="28"/>
          <w:rFonts w:ascii="Arial" w:hAnsi="Arial" w:cs="Arial"/>
        </w:rPr>
        <w:t>Einige Überprüfungsausschüsse bitten auch um Beiträge von Patienten zum vorgeschlagenen Studiendesign.</w:t>
      </w:r>
    </w:p>
    <w:p w:rsidR="00023DBD" w:rsidRPr="00023DBD" w:rsidRDefault="00023DBD" w:rsidP="00023DBD">
      <w:pPr>
        <w:pStyle w:val="ListParagraph"/>
        <w:numPr>
          <w:ilvl w:val="0"/>
          <w:numId w:val="12"/>
        </w:numPr>
        <w:spacing w:line="360" w:lineRule="auto"/>
        <w:rPr>
          <w:rFonts w:ascii="Arial" w:hAnsi="Arial" w:cs="Arial"/>
          <w:b/>
          <w:szCs w:val="28"/>
        </w:rPr>
      </w:pPr>
      <w:r>
        <w:rPr>
          <w:b/>
          <w:sz w:val="24"/>
          <w:szCs w:val="28"/>
          <w:rFonts w:ascii="Arial" w:hAnsi="Arial" w:cs="Arial"/>
        </w:rPr>
        <w:t>Institutionelle Überprüfung – ethische Überprüfung</w:t>
      </w:r>
      <w:r>
        <w:rPr>
          <w:b/>
          <w:sz w:val="24"/>
          <w:szCs w:val="28"/>
          <w:rFonts w:ascii="Arial" w:hAnsi="Arial" w:cs="Arial"/>
        </w:rPr>
        <w:br/>
      </w:r>
      <w:r>
        <w:rPr>
          <w:sz w:val="24"/>
          <w:szCs w:val="28"/>
          <w:rFonts w:ascii="Arial" w:hAnsi="Arial" w:cs="Arial"/>
        </w:rPr>
        <w:t>Ein Institutional Review Board (IRB) oder eine unabhängige Ethik-Kommission sind dazu da, um die Rechte, die Sicherheit und das Wohlbefinden aller Patienten in einer klinischen Studie sicherzustellen. Besondere Aufmerksamkeit wird Studien geschenkt, die verletzliche Teilnehmer einschließen können. Es wird außerdem sichergestellt, dass kein Zwang oder unzulässiger Druck auf die Teilnehmer an der Studie besteht, und es werden in für den Risikograd für menschliche Teilnehmer angemessenen Zeitabständen Überprüfungen aller laufenden Studien durchgeführt.</w:t>
      </w:r>
    </w:p>
    <w:p w:rsidR="006A10C9" w:rsidRPr="006A10C9" w:rsidRDefault="00023DBD" w:rsidP="006A10C9">
      <w:pPr>
        <w:pStyle w:val="ListParagraph"/>
        <w:numPr>
          <w:ilvl w:val="0"/>
          <w:numId w:val="12"/>
        </w:numPr>
        <w:spacing w:line="360" w:lineRule="auto"/>
        <w:rPr>
          <w:rStyle w:val="Hyperlink"/>
          <w:rFonts w:ascii="Arial" w:hAnsi="Arial" w:cs="Arial"/>
          <w:b/>
          <w:color w:val="auto"/>
          <w:szCs w:val="28"/>
          <w:u w:val="none"/>
        </w:rPr>
      </w:pPr>
      <w:r>
        <w:rPr>
          <w:b/>
          <w:sz w:val="24"/>
          <w:szCs w:val="28"/>
          <w:rFonts w:ascii="Arial" w:hAnsi="Arial" w:cs="Arial"/>
        </w:rPr>
        <w:t>Richtlinien für klinische Studien</w:t>
      </w:r>
      <w:r>
        <w:rPr>
          <w:sz w:val="24"/>
          <w:szCs w:val="28"/>
          <w:rFonts w:ascii="Arial" w:hAnsi="Arial" w:cs="Arial"/>
        </w:rPr>
        <w:br/>
      </w:r>
      <w:r>
        <w:rPr>
          <w:sz w:val="24"/>
          <w:szCs w:val="28"/>
          <w:rFonts w:ascii="Arial" w:hAnsi="Arial" w:cs="Arial"/>
        </w:rPr>
        <w:t xml:space="preserve">Die Richtlinie über klinische Prüfungen gleicht die Regelungen in der EU für die Zulassung von klinischen Studien, die in einem Mitgliedstaat durchgeführt werden, aneinander an. In Bezug auf die zuständigen nationalen Behörden sind die Einzelheiten in der </w:t>
      </w:r>
      <w:r>
        <w:rPr>
          <w:i/>
          <w:sz w:val="24"/>
          <w:szCs w:val="28"/>
          <w:rFonts w:ascii="Arial" w:hAnsi="Arial" w:cs="Arial"/>
        </w:rPr>
        <w:t>„ausführlichen Anleitung zum Antrag auf Genehmigung der klinischen Prüfung eines Humanarzneimittels bei den zuständigen Behörden, zur Unterrichtung über signifikante Änderungen und zur Mitteilung über den Abschluss der klinischen Prüfung (CT-1)“</w:t>
      </w:r>
      <w:r>
        <w:rPr>
          <w:sz w:val="24"/>
          <w:szCs w:val="28"/>
          <w:rFonts w:ascii="Arial" w:hAnsi="Arial" w:cs="Arial"/>
        </w:rPr>
        <w:t xml:space="preserve"> niedergelegt. [Abrufbar unter folgender URL: </w:t>
      </w:r>
      <w:hyperlink r:id="rId7" w:history="1">
        <w:r>
          <w:rPr>
            <w:rStyle w:val="Hyperlink"/>
            <w:rFonts w:ascii="Arial" w:hAnsi="Arial" w:cs="Arial"/>
          </w:rPr>
          <w:t>http://ec.europa.eu/health/files/eudralex/vol-10/2010_c82_01/2010_c82_01_en.pdf</w:t>
        </w:r>
      </w:hyperlink>
      <w:r>
        <w:rPr>
          <w:rStyle w:val="Hyperlink"/>
          <w:rFonts w:ascii="Arial" w:hAnsi="Arial" w:cs="Arial"/>
        </w:rPr>
        <w:t xml:space="preserve"> </w:t>
      </w:r>
      <w:r>
        <w:rPr>
          <w:rStyle w:val="Hyperlink"/>
          <w:color w:val="auto"/>
          <w:u w:val="none"/>
          <w:rFonts w:ascii="Arial" w:hAnsi="Arial" w:cs="Arial"/>
        </w:rPr>
        <w:t>, 8.12.2015]</w:t>
      </w:r>
      <w:r>
        <w:rPr>
          <w:rStyle w:val="Hyperlink"/>
          <w:color w:val="auto"/>
          <w:u w:val="none"/>
          <w:rFonts w:ascii="Arial" w:hAnsi="Arial" w:cs="Arial"/>
        </w:rPr>
        <w:br/>
      </w:r>
      <w:r>
        <w:rPr>
          <w:rStyle w:val="Hyperlink"/>
          <w:color w:val="auto"/>
          <w:u w:val="none"/>
          <w:rFonts w:ascii="Arial" w:hAnsi="Arial" w:cs="Arial"/>
        </w:rPr>
        <w:t>Diese Leitlinien:</w:t>
      </w:r>
    </w:p>
    <w:p w:rsidR="006A10C9" w:rsidRPr="006A10C9" w:rsidRDefault="006A10C9" w:rsidP="006A10C9">
      <w:pPr>
        <w:pStyle w:val="ListParagraph"/>
        <w:numPr>
          <w:ilvl w:val="1"/>
          <w:numId w:val="12"/>
        </w:numPr>
        <w:spacing w:line="360" w:lineRule="auto"/>
        <w:rPr>
          <w:rFonts w:ascii="Arial" w:hAnsi="Arial" w:cs="Arial"/>
          <w:b/>
          <w:color w:val="auto"/>
          <w:szCs w:val="28"/>
        </w:rPr>
      </w:pPr>
      <w:r>
        <w:rPr>
          <w:sz w:val="24"/>
          <w:szCs w:val="28"/>
          <w:rFonts w:ascii="Arial" w:hAnsi="Arial" w:cs="Arial"/>
        </w:rPr>
        <w:t xml:space="preserve">standardisieren das Design, das Unterzeichnen, die Durchführung, die Erfassung und die Berichterstattung von Studien, die menschliche Teilnehmer einschließen. </w:t>
      </w:r>
    </w:p>
    <w:p w:rsidR="006A10C9" w:rsidRPr="006A10C9" w:rsidRDefault="006A10C9" w:rsidP="006A10C9">
      <w:pPr>
        <w:pStyle w:val="ListParagraph"/>
        <w:numPr>
          <w:ilvl w:val="1"/>
          <w:numId w:val="12"/>
        </w:numPr>
        <w:spacing w:line="360" w:lineRule="auto"/>
        <w:rPr>
          <w:rFonts w:ascii="Arial" w:hAnsi="Arial" w:cs="Arial"/>
          <w:b/>
          <w:color w:val="auto"/>
          <w:szCs w:val="28"/>
        </w:rPr>
      </w:pPr>
      <w:r>
        <w:rPr>
          <w:sz w:val="24"/>
          <w:szCs w:val="28"/>
          <w:rFonts w:ascii="Arial" w:hAnsi="Arial" w:cs="Arial"/>
        </w:rPr>
        <w:t>schaffen Vertrauen in der Öffentlichkeit, dass die Rechte, die Sicherheit und das Wohlbefinden von Teilnehmern an klinischen Studien geschützt sind.</w:t>
      </w:r>
    </w:p>
    <w:p w:rsidR="006A10C9" w:rsidRPr="006A10C9" w:rsidRDefault="006A10C9" w:rsidP="006A10C9">
      <w:pPr>
        <w:pStyle w:val="ListParagraph"/>
        <w:numPr>
          <w:ilvl w:val="1"/>
          <w:numId w:val="12"/>
        </w:numPr>
        <w:spacing w:line="360" w:lineRule="auto"/>
        <w:rPr>
          <w:rFonts w:ascii="Arial" w:hAnsi="Arial" w:cs="Arial"/>
          <w:b/>
          <w:color w:val="auto"/>
          <w:szCs w:val="28"/>
        </w:rPr>
      </w:pPr>
      <w:r>
        <w:rPr>
          <w:color w:val="auto"/>
          <w:szCs w:val="28"/>
          <w:rFonts w:ascii="Arial" w:hAnsi="Arial" w:cs="Arial"/>
        </w:rPr>
        <w:t>bilden die Leitfäden für schriftliche Einverständniserklärungen – zum Beispiel, dass das Formular in einer nicht technischen Sprache verfasst sein muss und für den Patienten oder den Vertreter des Patienten verständlich sein sollte.</w:t>
      </w:r>
    </w:p>
    <w:p w:rsidR="006A10C9" w:rsidRPr="00D61E5B" w:rsidRDefault="006A10C9" w:rsidP="006A10C9">
      <w:pPr>
        <w:pStyle w:val="ListParagraph"/>
        <w:numPr>
          <w:ilvl w:val="1"/>
          <w:numId w:val="12"/>
        </w:numPr>
        <w:spacing w:line="360" w:lineRule="auto"/>
        <w:rPr>
          <w:rFonts w:ascii="Arial" w:hAnsi="Arial" w:cs="Arial"/>
          <w:b/>
          <w:color w:val="auto"/>
          <w:szCs w:val="28"/>
        </w:rPr>
      </w:pPr>
      <w:r>
        <w:rPr>
          <w:color w:val="auto"/>
          <w:szCs w:val="28"/>
          <w:rFonts w:ascii="Arial" w:hAnsi="Arial" w:cs="Arial"/>
        </w:rPr>
        <w:t xml:space="preserve">schreiben vor, dass dem Patienten reichlich Zeit gegeben werden soll, um sich über die Studie zu erkundigen und sich für oder gegen eine Teilnahme zu entscheiden. </w:t>
      </w:r>
    </w:p>
    <w:p w:rsidR="00D61E5B" w:rsidRPr="006A10C9" w:rsidRDefault="00D61E5B" w:rsidP="006A10C9">
      <w:pPr>
        <w:pStyle w:val="ListParagraph"/>
        <w:numPr>
          <w:ilvl w:val="1"/>
          <w:numId w:val="12"/>
        </w:numPr>
        <w:spacing w:line="360" w:lineRule="auto"/>
        <w:rPr>
          <w:rFonts w:ascii="Arial" w:hAnsi="Arial" w:cs="Arial"/>
          <w:b/>
          <w:color w:val="auto"/>
          <w:szCs w:val="28"/>
        </w:rPr>
      </w:pPr>
      <w:r>
        <w:rPr>
          <w:color w:val="auto"/>
          <w:szCs w:val="28"/>
          <w:rFonts w:ascii="Arial" w:hAnsi="Arial" w:cs="Arial"/>
        </w:rPr>
        <w:t xml:space="preserve">legen fest, dass das Formular der Einverständniserklärung vom Patienten oder seinem gesetzlichen Vertreter und vom Vertreter der Studie, der mit dem Patienten die Studie besprochen hat, unterschrieben werden muss. </w:t>
      </w:r>
    </w:p>
    <w:p w:rsidR="006B3430" w:rsidRPr="006B3430" w:rsidRDefault="006B3430" w:rsidP="00525650">
      <w:pPr>
        <w:spacing w:line="360" w:lineRule="auto"/>
        <w:rPr>
          <w:b/>
          <w:sz w:val="22"/>
        </w:rPr>
      </w:pPr>
    </w:p>
    <w:sectPr w:rsidR="006B3430" w:rsidRPr="006B3430" w:rsidSect="008F1493">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6D4" w:rsidRDefault="00E036D4" w:rsidP="00527DB1">
      <w:pPr>
        <w:spacing w:before="0"/>
      </w:pPr>
      <w:r>
        <w:separator/>
      </w:r>
    </w:p>
  </w:endnote>
  <w:endnote w:type="continuationSeparator" w:id="0">
    <w:p w:rsidR="00E036D4" w:rsidRDefault="00E036D4" w:rsidP="00527DB1">
      <w:pPr>
        <w:spacing w:before="0"/>
      </w:pPr>
      <w:r>
        <w:continuationSeparator/>
      </w:r>
    </w:p>
  </w:endnote>
  <w:endnote w:type="continuationNotice" w:id="1">
    <w:p w:rsidR="00E036D4" w:rsidRDefault="00E036D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2516"/>
      <w:docPartObj>
        <w:docPartGallery w:val="Page Numbers (Bottom of Page)"/>
        <w:docPartUnique/>
      </w:docPartObj>
    </w:sdtPr>
    <w:sdtEndPr/>
    <w:sdtContent>
      <w:p w:rsidR="00FA019B" w:rsidRDefault="00ED1139" w:rsidP="00FA019B">
        <w:pPr>
          <w:pStyle w:val="Footer"/>
          <w:jc w:val="right"/>
        </w:pPr>
        <w:r>
          <w:drawing>
            <wp:anchor distT="0" distB="0" distL="114300" distR="114300" simplePos="0" relativeHeight="251663360" behindDoc="0" locked="0" layoutInCell="1" allowOverlap="1">
              <wp:simplePos x="0" y="0"/>
              <wp:positionH relativeFrom="column">
                <wp:posOffset>-54763</wp:posOffset>
              </wp:positionH>
              <wp:positionV relativeFrom="paragraph">
                <wp:posOffset>-15519</wp:posOffset>
              </wp:positionV>
              <wp:extent cx="770992" cy="270662"/>
              <wp:effectExtent l="19050" t="0" r="0" b="0"/>
              <wp:wrapNone/>
              <wp:docPr id="6" name="Picture 1" descr="by-nc-sa.png"/>
              <wp:cNvGraphicFramePr/>
              <a:graphic xmlns:a="http://schemas.openxmlformats.org/drawingml/2006/main">
                <a:graphicData uri="http://schemas.openxmlformats.org/drawingml/2006/picture">
                  <pic:pic xmlns:pic="http://schemas.openxmlformats.org/drawingml/2006/picture">
                    <pic:nvPicPr>
                      <pic:cNvPr id="9" name="Picture 8" descr="by-nc-sa.png"/>
                      <pic:cNvPicPr>
                        <a:picLocks noChangeAspect="1"/>
                      </pic:cNvPicPr>
                    </pic:nvPicPr>
                    <pic:blipFill>
                      <a:blip r:embed="rId1" cstate="print"/>
                      <a:stretch>
                        <a:fillRect/>
                      </a:stretch>
                    </pic:blipFill>
                    <pic:spPr>
                      <a:xfrm>
                        <a:off x="0" y="0"/>
                        <a:ext cx="770992" cy="270662"/>
                      </a:xfrm>
                      <a:prstGeom prst="rect">
                        <a:avLst/>
                      </a:prstGeom>
                    </pic:spPr>
                  </pic:pic>
                </a:graphicData>
              </a:graphic>
            </wp:anchor>
          </w:drawing>
        </w:r>
        <w:r>
          <w:fldChar w:fldCharType="begin"/>
        </w:r>
        <w:r w:rsidR="00BD5560">
          <w:instrText xml:space="preserve"> PAGE   \* MERGEFORMAT </w:instrText>
        </w:r>
        <w:r w:rsidR="00BD5560">
          <w:fldChar w:fldCharType="separate"/>
        </w:r>
        <w:r w:rsidR="00D61E5B">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6D4" w:rsidRDefault="00E036D4" w:rsidP="00527DB1">
      <w:pPr>
        <w:spacing w:before="0"/>
      </w:pPr>
      <w:r>
        <w:separator/>
      </w:r>
    </w:p>
  </w:footnote>
  <w:footnote w:type="continuationSeparator" w:id="0">
    <w:p w:rsidR="00E036D4" w:rsidRDefault="00E036D4" w:rsidP="00527DB1">
      <w:pPr>
        <w:spacing w:before="0"/>
      </w:pPr>
      <w:r>
        <w:continuationSeparator/>
      </w:r>
    </w:p>
  </w:footnote>
  <w:footnote w:type="continuationNotice" w:id="1">
    <w:p w:rsidR="00E036D4" w:rsidRDefault="00E036D4">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135" w:rsidRDefault="002E7650" w:rsidP="00FA019B">
    <w:pPr>
      <w:pStyle w:val="Header"/>
      <w:tabs>
        <w:tab w:val="clear" w:pos="9072"/>
        <w:tab w:val="left" w:pos="1279"/>
        <w:tab w:val="right" w:pos="9070"/>
      </w:tabs>
    </w:pPr>
    <w:r>
      <mc:AlternateContent>
        <mc:Choice Requires="wps">
          <w:drawing>
            <wp:anchor distT="0" distB="0" distL="114300" distR="114300" simplePos="0" relativeHeight="251664384" behindDoc="0" locked="0" layoutInCell="1" allowOverlap="1">
              <wp:simplePos x="0" y="0"/>
              <wp:positionH relativeFrom="column">
                <wp:posOffset>1206500</wp:posOffset>
              </wp:positionH>
              <wp:positionV relativeFrom="paragraph">
                <wp:posOffset>441325</wp:posOffset>
              </wp:positionV>
              <wp:extent cx="1388745" cy="241935"/>
              <wp:effectExtent l="0" t="3175"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139" w:rsidRPr="00047E36" w:rsidRDefault="00ED1139" w:rsidP="00ED1139">
                          <w:pPr>
                            <w:pStyle w:val="Footer"/>
                          </w:pPr>
                          <w:r>
                            <w:t>http://www.eupati.eu</w:t>
                          </w:r>
                        </w:p>
                        <w:p w:rsidR="00ED1139" w:rsidRDefault="00ED11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5pt;margin-top:34.75pt;width:109.3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qT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" filled="f" stroked="f">
              <v:textbox>
                <w:txbxContent>
                  <w:p w:rsidR="00ED1139" w:rsidRPr="00047E36" w:rsidRDefault="00ED1139" w:rsidP="00ED1139">
                    <w:pPr>
                      <w:pStyle w:val="Footer"/>
                    </w:pPr>
                    <w:r>
                      <w:t>http://www.eupati.eu</w:t>
                    </w:r>
                  </w:p>
                  <w:p w:rsidR="00ED1139" w:rsidRDefault="00ED1139"/>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1198880</wp:posOffset>
              </wp:positionH>
              <wp:positionV relativeFrom="paragraph">
                <wp:posOffset>20955</wp:posOffset>
              </wp:positionV>
              <wp:extent cx="2339340" cy="46799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19B" w:rsidRPr="00ED1139" w:rsidRDefault="00FA019B" w:rsidP="00ED1139">
                          <w:pPr>
                            <w:rPr>
                              <w:color w:val="551A8B"/>
                              <w:sz w:val="24"/>
                              <w:szCs w:val="12"/>
                              <w:lang w:val="en-IE"/>
                            </w:rPr>
                          </w:pPr>
                          <w:r>
                            <w:rPr>
                              <w:sz w:val="24"/>
                              <w:szCs w:val="12"/>
                            </w:rPr>
                            <w:t>Europäische</w:t>
                          </w:r>
                          <w:r>
                            <w:rPr>
                              <w:color w:val="551A8B"/>
                              <w:sz w:val="24"/>
                              <w:szCs w:val="12"/>
                            </w:rPr>
                            <w:t xml:space="preserve"> </w:t>
                          </w:r>
                          <w:r>
                            <w:rPr>
                              <w:color w:val="022F68"/>
                              <w:sz w:val="24"/>
                              <w:szCs w:val="12"/>
                            </w:rPr>
                            <w:t>Patientenakademie</w:t>
                          </w:r>
                          <w:r>
                            <w:rPr>
                              <w:color w:val="551A8B"/>
                              <w:sz w:val="24"/>
                              <w:szCs w:val="12"/>
                            </w:rPr>
                            <w:t xml:space="preserve"> </w:t>
                          </w:r>
                          <w:r>
                            <w:rPr>
                              <w:sz w:val="24"/>
                              <w:szCs w:val="12"/>
                            </w:rPr>
                            <w:t>zu Therapeutischen Innovationen</w:t>
                          </w:r>
                        </w:p>
                        <w:p w:rsidR="00FA019B" w:rsidRPr="00ED1139" w:rsidRDefault="00FA019B" w:rsidP="00ED1139">
                          <w:pPr>
                            <w:rPr>
                              <w:sz w:val="24"/>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4.4pt;margin-top:1.65pt;width:184.2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75tg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" filled="f" stroked="f">
              <v:textbox>
                <w:txbxContent>
                  <w:p w:rsidR="00FA019B" w:rsidRPr="00ED1139" w:rsidRDefault="00FA019B" w:rsidP="00ED1139">
                    <w:pPr>
                      <w:rPr>
                        <w:color w:val="551A8B"/>
                        <w:sz w:val="24"/>
                        <w:szCs w:val="12"/>
                        <w:lang w:val="en-IE"/>
                      </w:rPr>
                    </w:pPr>
                    <w:r>
                      <w:rPr>
                        <w:sz w:val="24"/>
                        <w:szCs w:val="12"/>
                      </w:rPr>
                      <w:t>Europäische</w:t>
                    </w:r>
                    <w:r>
                      <w:rPr>
                        <w:color w:val="551A8B"/>
                        <w:sz w:val="24"/>
                        <w:szCs w:val="12"/>
                      </w:rPr>
                      <w:t xml:space="preserve"> </w:t>
                    </w:r>
                    <w:r>
                      <w:rPr>
                        <w:color w:val="022F68"/>
                        <w:sz w:val="24"/>
                        <w:szCs w:val="12"/>
                      </w:rPr>
                      <w:t>Patientenakademie</w:t>
                    </w:r>
                    <w:r>
                      <w:rPr>
                        <w:color w:val="551A8B"/>
                        <w:sz w:val="24"/>
                        <w:szCs w:val="12"/>
                      </w:rPr>
                      <w:t xml:space="preserve"> </w:t>
                    </w:r>
                    <w:r>
                      <w:rPr>
                        <w:sz w:val="24"/>
                        <w:szCs w:val="12"/>
                      </w:rPr>
                      <w:t>zu Therapeutischen Innovationen</w:t>
                    </w:r>
                  </w:p>
                  <w:p w:rsidR="00FA019B" w:rsidRPr="00ED1139" w:rsidRDefault="00FA019B" w:rsidP="00ED1139">
                    <w:pPr>
                      <w:rPr>
                        <w:sz w:val="24"/>
                        <w:szCs w:val="12"/>
                      </w:rPr>
                    </w:pPr>
                  </w:p>
                </w:txbxContent>
              </v:textbox>
            </v:shape>
          </w:pict>
        </mc:Fallback>
      </mc:AlternateContent>
    </w:r>
    <w:r>
      <w:drawing>
        <wp:inline distT="0" distB="0" distL="0" distR="0">
          <wp:extent cx="1057238" cy="589658"/>
          <wp:effectExtent l="19050" t="0" r="0" b="0"/>
          <wp:docPr id="7" name="Bild 1" descr="Beschreibung: EUPATI-Logo-web-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EUPATI-Logo-web-update"/>
                  <pic:cNvPicPr>
                    <a:picLocks noChangeAspect="1" noChangeArrowheads="1"/>
                  </pic:cNvPicPr>
                </pic:nvPicPr>
                <pic:blipFill>
                  <a:blip r:embed="rId1"/>
                  <a:srcRect b="20216"/>
                  <a:stretch>
                    <a:fillRect/>
                  </a:stretch>
                </pic:blipFill>
                <pic:spPr bwMode="auto">
                  <a:xfrm>
                    <a:off x="0" y="0"/>
                    <a:ext cx="1055200" cy="588521"/>
                  </a:xfrm>
                  <a:prstGeom prst="rect">
                    <a:avLst/>
                  </a:prstGeom>
                  <a:noFill/>
                  <a:ln w="9525">
                    <a:noFill/>
                    <a:miter lim="800000"/>
                    <a:headEnd/>
                    <a:tailEnd/>
                  </a:ln>
                </pic:spPr>
              </pic:pic>
            </a:graphicData>
          </a:graphic>
        </wp:inline>
      </w:drawing>
    </w:r>
    <w:r>
      <w:tab/>
      <w:tab/>
      <w:tab/>
    </w:r>
  </w:p>
  <w:p w:rsidR="001C1135" w:rsidRDefault="001C1135">
    <w:pPr>
      <w:pStyle w:val="Header"/>
    </w:pPr>
  </w:p>
  <w:p w:rsidR="00047E36" w:rsidRDefault="00047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3E8E"/>
    <w:multiLevelType w:val="hybridMultilevel"/>
    <w:tmpl w:val="3CC22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AF20A4"/>
    <w:multiLevelType w:val="hybridMultilevel"/>
    <w:tmpl w:val="F98E5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C5EA9"/>
    <w:multiLevelType w:val="hybridMultilevel"/>
    <w:tmpl w:val="788A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82A94"/>
    <w:multiLevelType w:val="multilevel"/>
    <w:tmpl w:val="3F32B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133D6D"/>
    <w:multiLevelType w:val="hybridMultilevel"/>
    <w:tmpl w:val="9BD821C6"/>
    <w:lvl w:ilvl="0" w:tplc="2A38F960">
      <w:start w:val="200"/>
      <w:numFmt w:val="bullet"/>
      <w:lvlText w:val=""/>
      <w:lvlJc w:val="left"/>
      <w:pPr>
        <w:ind w:left="1060" w:hanging="70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FDE03FC"/>
    <w:multiLevelType w:val="hybridMultilevel"/>
    <w:tmpl w:val="0D328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C1CFD"/>
    <w:multiLevelType w:val="hybridMultilevel"/>
    <w:tmpl w:val="A30A6A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4F750DCD"/>
    <w:multiLevelType w:val="hybridMultilevel"/>
    <w:tmpl w:val="3960A4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05873D9"/>
    <w:multiLevelType w:val="hybridMultilevel"/>
    <w:tmpl w:val="5AA0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9509C"/>
    <w:multiLevelType w:val="hybridMultilevel"/>
    <w:tmpl w:val="5C8C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A0186F"/>
    <w:multiLevelType w:val="hybridMultilevel"/>
    <w:tmpl w:val="1FF42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61553E4"/>
    <w:multiLevelType w:val="hybridMultilevel"/>
    <w:tmpl w:val="6F64B7E8"/>
    <w:lvl w:ilvl="0" w:tplc="3E0477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2"/>
  </w:num>
  <w:num w:numId="5">
    <w:abstractNumId w:val="4"/>
  </w:num>
  <w:num w:numId="6">
    <w:abstractNumId w:val="11"/>
  </w:num>
  <w:num w:numId="7">
    <w:abstractNumId w:val="7"/>
  </w:num>
  <w:num w:numId="8">
    <w:abstractNumId w:val="8"/>
  </w:num>
  <w:num w:numId="9">
    <w:abstractNumId w:val="9"/>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01"/>
    <w:rsid w:val="00000666"/>
    <w:rsid w:val="00023DBD"/>
    <w:rsid w:val="00037816"/>
    <w:rsid w:val="0004195D"/>
    <w:rsid w:val="00047DAD"/>
    <w:rsid w:val="00047E36"/>
    <w:rsid w:val="0005038B"/>
    <w:rsid w:val="000559B8"/>
    <w:rsid w:val="00063556"/>
    <w:rsid w:val="00074E0E"/>
    <w:rsid w:val="00077E83"/>
    <w:rsid w:val="00082812"/>
    <w:rsid w:val="000A2B24"/>
    <w:rsid w:val="000E6FBC"/>
    <w:rsid w:val="000E7D37"/>
    <w:rsid w:val="000F3493"/>
    <w:rsid w:val="000F4ADA"/>
    <w:rsid w:val="001115FA"/>
    <w:rsid w:val="00112F4E"/>
    <w:rsid w:val="001176C6"/>
    <w:rsid w:val="00126514"/>
    <w:rsid w:val="00153753"/>
    <w:rsid w:val="001701AA"/>
    <w:rsid w:val="001928D4"/>
    <w:rsid w:val="001A06C5"/>
    <w:rsid w:val="001A6637"/>
    <w:rsid w:val="001C1135"/>
    <w:rsid w:val="001C11DC"/>
    <w:rsid w:val="001C1EC1"/>
    <w:rsid w:val="001D02FD"/>
    <w:rsid w:val="001E65BE"/>
    <w:rsid w:val="002042C5"/>
    <w:rsid w:val="002114E4"/>
    <w:rsid w:val="00222A6E"/>
    <w:rsid w:val="00274B8F"/>
    <w:rsid w:val="00280975"/>
    <w:rsid w:val="0029337E"/>
    <w:rsid w:val="002B4E86"/>
    <w:rsid w:val="002D4053"/>
    <w:rsid w:val="002E3270"/>
    <w:rsid w:val="002E7650"/>
    <w:rsid w:val="002F27F8"/>
    <w:rsid w:val="0033333B"/>
    <w:rsid w:val="003430FB"/>
    <w:rsid w:val="003440FF"/>
    <w:rsid w:val="00396DFD"/>
    <w:rsid w:val="003B2377"/>
    <w:rsid w:val="003C681E"/>
    <w:rsid w:val="003D3703"/>
    <w:rsid w:val="003D79A3"/>
    <w:rsid w:val="003F50D6"/>
    <w:rsid w:val="00410919"/>
    <w:rsid w:val="00410AC8"/>
    <w:rsid w:val="00411B09"/>
    <w:rsid w:val="00433D27"/>
    <w:rsid w:val="00455493"/>
    <w:rsid w:val="004B0D48"/>
    <w:rsid w:val="004B0F48"/>
    <w:rsid w:val="004C02B4"/>
    <w:rsid w:val="004F7058"/>
    <w:rsid w:val="00502880"/>
    <w:rsid w:val="00506943"/>
    <w:rsid w:val="00522128"/>
    <w:rsid w:val="00525650"/>
    <w:rsid w:val="00527DB1"/>
    <w:rsid w:val="00533052"/>
    <w:rsid w:val="0054367C"/>
    <w:rsid w:val="00556B6D"/>
    <w:rsid w:val="005608E5"/>
    <w:rsid w:val="00560E60"/>
    <w:rsid w:val="0057410A"/>
    <w:rsid w:val="00575AB1"/>
    <w:rsid w:val="00593FE8"/>
    <w:rsid w:val="005A7863"/>
    <w:rsid w:val="005B1018"/>
    <w:rsid w:val="005B1FFD"/>
    <w:rsid w:val="005B2D2D"/>
    <w:rsid w:val="005C29CD"/>
    <w:rsid w:val="005D3C98"/>
    <w:rsid w:val="005D7C96"/>
    <w:rsid w:val="00602F85"/>
    <w:rsid w:val="00616199"/>
    <w:rsid w:val="00621E44"/>
    <w:rsid w:val="00653E43"/>
    <w:rsid w:val="006706A4"/>
    <w:rsid w:val="00684D01"/>
    <w:rsid w:val="0069371A"/>
    <w:rsid w:val="00694B23"/>
    <w:rsid w:val="00696A72"/>
    <w:rsid w:val="006A10C9"/>
    <w:rsid w:val="006B3430"/>
    <w:rsid w:val="006E6477"/>
    <w:rsid w:val="006F4AD1"/>
    <w:rsid w:val="00701A73"/>
    <w:rsid w:val="00737119"/>
    <w:rsid w:val="007621A4"/>
    <w:rsid w:val="007705E8"/>
    <w:rsid w:val="00782A28"/>
    <w:rsid w:val="007866C9"/>
    <w:rsid w:val="0079540F"/>
    <w:rsid w:val="007979F2"/>
    <w:rsid w:val="007A0501"/>
    <w:rsid w:val="007B0543"/>
    <w:rsid w:val="007B39DB"/>
    <w:rsid w:val="007D24E4"/>
    <w:rsid w:val="007D5D30"/>
    <w:rsid w:val="007F5390"/>
    <w:rsid w:val="00810B4D"/>
    <w:rsid w:val="00830662"/>
    <w:rsid w:val="00842CF6"/>
    <w:rsid w:val="008853D7"/>
    <w:rsid w:val="008D1D06"/>
    <w:rsid w:val="008E036F"/>
    <w:rsid w:val="008E0A12"/>
    <w:rsid w:val="008E4C8E"/>
    <w:rsid w:val="008F0BC0"/>
    <w:rsid w:val="008F1493"/>
    <w:rsid w:val="00921DE1"/>
    <w:rsid w:val="00923AEC"/>
    <w:rsid w:val="00927316"/>
    <w:rsid w:val="009523E0"/>
    <w:rsid w:val="00957D2B"/>
    <w:rsid w:val="00962F21"/>
    <w:rsid w:val="009701A0"/>
    <w:rsid w:val="009731EF"/>
    <w:rsid w:val="0097365C"/>
    <w:rsid w:val="00986800"/>
    <w:rsid w:val="00992BE5"/>
    <w:rsid w:val="009A08B3"/>
    <w:rsid w:val="009B1789"/>
    <w:rsid w:val="009B1C86"/>
    <w:rsid w:val="009B23D0"/>
    <w:rsid w:val="009B766E"/>
    <w:rsid w:val="009E144B"/>
    <w:rsid w:val="00A03A51"/>
    <w:rsid w:val="00A43C6E"/>
    <w:rsid w:val="00A50E00"/>
    <w:rsid w:val="00A5288F"/>
    <w:rsid w:val="00A95B70"/>
    <w:rsid w:val="00AA25FD"/>
    <w:rsid w:val="00AA6ACC"/>
    <w:rsid w:val="00AA6BFA"/>
    <w:rsid w:val="00AE517C"/>
    <w:rsid w:val="00AF1AD7"/>
    <w:rsid w:val="00B22CC3"/>
    <w:rsid w:val="00B26228"/>
    <w:rsid w:val="00B27E46"/>
    <w:rsid w:val="00B631C2"/>
    <w:rsid w:val="00B72BDB"/>
    <w:rsid w:val="00B77E41"/>
    <w:rsid w:val="00BA5D8F"/>
    <w:rsid w:val="00BC194A"/>
    <w:rsid w:val="00BC767C"/>
    <w:rsid w:val="00BD5560"/>
    <w:rsid w:val="00BE0FEC"/>
    <w:rsid w:val="00BE669A"/>
    <w:rsid w:val="00C130C1"/>
    <w:rsid w:val="00C2703B"/>
    <w:rsid w:val="00C46A74"/>
    <w:rsid w:val="00C51DA5"/>
    <w:rsid w:val="00C53246"/>
    <w:rsid w:val="00C84033"/>
    <w:rsid w:val="00CA2000"/>
    <w:rsid w:val="00CB506C"/>
    <w:rsid w:val="00CD508F"/>
    <w:rsid w:val="00CF53A1"/>
    <w:rsid w:val="00CF7C2C"/>
    <w:rsid w:val="00D0732B"/>
    <w:rsid w:val="00D176BB"/>
    <w:rsid w:val="00D22E6F"/>
    <w:rsid w:val="00D310EA"/>
    <w:rsid w:val="00D4122C"/>
    <w:rsid w:val="00D418B8"/>
    <w:rsid w:val="00D4452A"/>
    <w:rsid w:val="00D5131A"/>
    <w:rsid w:val="00D55908"/>
    <w:rsid w:val="00D61E5B"/>
    <w:rsid w:val="00D9392E"/>
    <w:rsid w:val="00DA22AF"/>
    <w:rsid w:val="00DC0EEA"/>
    <w:rsid w:val="00DC437D"/>
    <w:rsid w:val="00DD3E88"/>
    <w:rsid w:val="00DE69E3"/>
    <w:rsid w:val="00DE7632"/>
    <w:rsid w:val="00DF4245"/>
    <w:rsid w:val="00DF51A0"/>
    <w:rsid w:val="00E0121C"/>
    <w:rsid w:val="00E036D4"/>
    <w:rsid w:val="00E04C9C"/>
    <w:rsid w:val="00E22ACC"/>
    <w:rsid w:val="00E80369"/>
    <w:rsid w:val="00E870D3"/>
    <w:rsid w:val="00E954DA"/>
    <w:rsid w:val="00EB77CD"/>
    <w:rsid w:val="00ED1139"/>
    <w:rsid w:val="00ED3F76"/>
    <w:rsid w:val="00EE055A"/>
    <w:rsid w:val="00EE7852"/>
    <w:rsid w:val="00F00D01"/>
    <w:rsid w:val="00F00F69"/>
    <w:rsid w:val="00F23984"/>
    <w:rsid w:val="00F25EFB"/>
    <w:rsid w:val="00F3417E"/>
    <w:rsid w:val="00F50F90"/>
    <w:rsid w:val="00F54E0A"/>
    <w:rsid w:val="00F55095"/>
    <w:rsid w:val="00F668CB"/>
    <w:rsid w:val="00F803C0"/>
    <w:rsid w:val="00FA019B"/>
    <w:rsid w:val="00FA3AB3"/>
    <w:rsid w:val="00FB4996"/>
    <w:rsid w:val="00FC4F54"/>
    <w:rsid w:val="00FC6BEE"/>
    <w:rsid w:val="00FD453B"/>
    <w:rsid w:val="00FD5452"/>
    <w:rsid w:val="00FE1D95"/>
    <w:rsid w:val="00FE3F4E"/>
    <w:rsid w:val="00FF1F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7FE5F0F-9C1B-45BC-9FC3-F74E1C54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before="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46"/>
    <w:pPr>
      <w:contextualSpacing/>
    </w:pPr>
    <w:rPr>
      <w:rFonts w:ascii="Arial" w:hAnsi="Arial"/>
      <w:sz w:val="20"/>
    </w:rPr>
  </w:style>
  <w:style w:type="paragraph" w:styleId="Heading1">
    <w:name w:val="heading 1"/>
    <w:basedOn w:val="Normal"/>
    <w:next w:val="Normal"/>
    <w:link w:val="Heading1Char"/>
    <w:uiPriority w:val="9"/>
    <w:qFormat/>
    <w:rsid w:val="00ED1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C130C1"/>
    <w:pPr>
      <w:spacing w:before="0"/>
    </w:pP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C130C1"/>
    <w:rPr>
      <w:color w:val="0000FF" w:themeColor="hyperlink"/>
      <w:u w:val="single"/>
    </w:rPr>
  </w:style>
  <w:style w:type="paragraph" w:styleId="ListParagraph">
    <w:name w:val="List Paragraph"/>
    <w:basedOn w:val="Normal"/>
    <w:uiPriority w:val="34"/>
    <w:qFormat/>
    <w:rsid w:val="00C130C1"/>
    <w:pPr>
      <w:spacing w:before="0" w:after="160" w:line="276" w:lineRule="auto"/>
      <w:ind w:left="720"/>
    </w:pPr>
    <w:rPr>
      <w:rFonts w:ascii="Calibri" w:eastAsia="Calibri" w:hAnsi="Calibri" w:cs="Times New Roman"/>
      <w:color w:val="000000"/>
      <w:sz w:val="22"/>
      <w:szCs w:val="20"/>
    </w:rPr>
  </w:style>
  <w:style w:type="paragraph" w:styleId="NormalWeb">
    <w:name w:val="Normal (Web)"/>
    <w:basedOn w:val="Normal"/>
    <w:uiPriority w:val="99"/>
    <w:unhideWhenUsed/>
    <w:rsid w:val="00C130C1"/>
    <w:pPr>
      <w:spacing w:before="100" w:beforeAutospacing="1" w:after="100" w:afterAutospacing="1"/>
      <w:contextualSpacing w:val="0"/>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C130C1"/>
    <w:pPr>
      <w:spacing w:before="0" w:after="200"/>
      <w:contextualSpacing w:val="0"/>
    </w:pPr>
    <w:rPr>
      <w:rFonts w:cs="Arial"/>
      <w:i/>
      <w:color w:val="002060"/>
      <w:szCs w:val="20"/>
      <w:u w:val="single"/>
    </w:rPr>
  </w:style>
  <w:style w:type="character" w:customStyle="1" w:styleId="CommentTextChar">
    <w:name w:val="Comment Text Char"/>
    <w:basedOn w:val="DefaultParagraphFont"/>
    <w:link w:val="CommentText"/>
    <w:uiPriority w:val="99"/>
    <w:rsid w:val="00C130C1"/>
    <w:rPr>
      <w:rFonts w:ascii="Arial" w:hAnsi="Arial" w:cs="Arial"/>
      <w:i/>
      <w:color w:val="002060"/>
      <w:sz w:val="20"/>
      <w:szCs w:val="20"/>
      <w:u w:val="single"/>
    </w:rPr>
  </w:style>
  <w:style w:type="table" w:styleId="TableGrid">
    <w:name w:val="Table Grid"/>
    <w:basedOn w:val="TableNormal"/>
    <w:uiPriority w:val="59"/>
    <w:rsid w:val="00DF51A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6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7C"/>
    <w:rPr>
      <w:rFonts w:ascii="Tahoma" w:hAnsi="Tahoma" w:cs="Tahoma"/>
      <w:sz w:val="16"/>
      <w:szCs w:val="16"/>
    </w:rPr>
  </w:style>
  <w:style w:type="character" w:styleId="PlaceholderText">
    <w:name w:val="Placeholder Text"/>
    <w:basedOn w:val="DefaultParagraphFont"/>
    <w:uiPriority w:val="99"/>
    <w:semiHidden/>
    <w:rsid w:val="001176C6"/>
    <w:rPr>
      <w:color w:val="808080"/>
    </w:rPr>
  </w:style>
  <w:style w:type="paragraph" w:styleId="Header">
    <w:name w:val="header"/>
    <w:basedOn w:val="Normal"/>
    <w:link w:val="HeaderChar"/>
    <w:semiHidden/>
    <w:unhideWhenUsed/>
    <w:rsid w:val="00527DB1"/>
    <w:pPr>
      <w:tabs>
        <w:tab w:val="center" w:pos="4536"/>
        <w:tab w:val="right" w:pos="9072"/>
      </w:tabs>
      <w:spacing w:before="0"/>
    </w:pPr>
  </w:style>
  <w:style w:type="character" w:customStyle="1" w:styleId="HeaderChar">
    <w:name w:val="Header Char"/>
    <w:basedOn w:val="DefaultParagraphFont"/>
    <w:link w:val="Header"/>
    <w:uiPriority w:val="99"/>
    <w:semiHidden/>
    <w:rsid w:val="00527DB1"/>
    <w:rPr>
      <w:rFonts w:ascii="Arial" w:hAnsi="Arial"/>
      <w:sz w:val="20"/>
    </w:rPr>
  </w:style>
  <w:style w:type="paragraph" w:styleId="Footer">
    <w:name w:val="footer"/>
    <w:basedOn w:val="Normal"/>
    <w:link w:val="FooterChar"/>
    <w:uiPriority w:val="99"/>
    <w:unhideWhenUsed/>
    <w:rsid w:val="00527DB1"/>
    <w:pPr>
      <w:tabs>
        <w:tab w:val="center" w:pos="4536"/>
        <w:tab w:val="right" w:pos="9072"/>
      </w:tabs>
      <w:spacing w:before="0"/>
    </w:pPr>
  </w:style>
  <w:style w:type="character" w:customStyle="1" w:styleId="FooterChar">
    <w:name w:val="Footer Char"/>
    <w:basedOn w:val="DefaultParagraphFont"/>
    <w:link w:val="Footer"/>
    <w:uiPriority w:val="99"/>
    <w:rsid w:val="00527DB1"/>
    <w:rPr>
      <w:rFonts w:ascii="Arial" w:hAnsi="Arial"/>
      <w:sz w:val="20"/>
    </w:rPr>
  </w:style>
  <w:style w:type="character" w:styleId="CommentReference">
    <w:name w:val="annotation reference"/>
    <w:basedOn w:val="DefaultParagraphFont"/>
    <w:uiPriority w:val="99"/>
    <w:semiHidden/>
    <w:unhideWhenUsed/>
    <w:rsid w:val="009523E0"/>
    <w:rPr>
      <w:sz w:val="18"/>
      <w:szCs w:val="18"/>
    </w:rPr>
  </w:style>
  <w:style w:type="paragraph" w:styleId="CommentSubject">
    <w:name w:val="annotation subject"/>
    <w:basedOn w:val="CommentText"/>
    <w:next w:val="CommentText"/>
    <w:link w:val="CommentSubjectChar"/>
    <w:uiPriority w:val="99"/>
    <w:semiHidden/>
    <w:unhideWhenUsed/>
    <w:rsid w:val="008853D7"/>
    <w:pPr>
      <w:spacing w:before="60" w:after="0"/>
      <w:contextualSpacing/>
    </w:pPr>
    <w:rPr>
      <w:rFonts w:cstheme="minorBidi"/>
      <w:b/>
      <w:bCs/>
      <w:i w:val="0"/>
      <w:color w:val="auto"/>
      <w:u w:val="none"/>
    </w:rPr>
  </w:style>
  <w:style w:type="character" w:customStyle="1" w:styleId="CommentSubjectChar">
    <w:name w:val="Comment Subject Char"/>
    <w:basedOn w:val="CommentTextChar"/>
    <w:link w:val="CommentSubject"/>
    <w:uiPriority w:val="99"/>
    <w:semiHidden/>
    <w:rsid w:val="008853D7"/>
    <w:rPr>
      <w:rFonts w:ascii="Arial" w:hAnsi="Arial" w:cs="Arial"/>
      <w:b/>
      <w:bCs/>
      <w:i/>
      <w:color w:val="002060"/>
      <w:sz w:val="20"/>
      <w:szCs w:val="20"/>
      <w:u w:val="single"/>
    </w:rPr>
  </w:style>
  <w:style w:type="paragraph" w:styleId="Revision">
    <w:name w:val="Revision"/>
    <w:hidden/>
    <w:uiPriority w:val="99"/>
    <w:semiHidden/>
    <w:rsid w:val="00410919"/>
    <w:pPr>
      <w:spacing w:before="0"/>
    </w:pPr>
    <w:rPr>
      <w:rFonts w:ascii="Arial" w:hAnsi="Arial"/>
      <w:sz w:val="20"/>
    </w:rPr>
  </w:style>
  <w:style w:type="character" w:customStyle="1" w:styleId="Heading1Char">
    <w:name w:val="Heading 1 Char"/>
    <w:basedOn w:val="DefaultParagraphFont"/>
    <w:link w:val="Heading1"/>
    <w:uiPriority w:val="9"/>
    <w:rsid w:val="00ED11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6857">
      <w:bodyDiv w:val="1"/>
      <w:marLeft w:val="0"/>
      <w:marRight w:val="0"/>
      <w:marTop w:val="0"/>
      <w:marBottom w:val="0"/>
      <w:divBdr>
        <w:top w:val="none" w:sz="0" w:space="0" w:color="auto"/>
        <w:left w:val="none" w:sz="0" w:space="0" w:color="auto"/>
        <w:bottom w:val="none" w:sz="0" w:space="0" w:color="auto"/>
        <w:right w:val="none" w:sz="0" w:space="0" w:color="auto"/>
      </w:divBdr>
    </w:div>
    <w:div w:id="148719762">
      <w:bodyDiv w:val="1"/>
      <w:marLeft w:val="0"/>
      <w:marRight w:val="0"/>
      <w:marTop w:val="0"/>
      <w:marBottom w:val="0"/>
      <w:divBdr>
        <w:top w:val="none" w:sz="0" w:space="0" w:color="auto"/>
        <w:left w:val="none" w:sz="0" w:space="0" w:color="auto"/>
        <w:bottom w:val="none" w:sz="0" w:space="0" w:color="auto"/>
        <w:right w:val="none" w:sz="0" w:space="0" w:color="auto"/>
      </w:divBdr>
    </w:div>
    <w:div w:id="1036126755">
      <w:bodyDiv w:val="1"/>
      <w:marLeft w:val="0"/>
      <w:marRight w:val="0"/>
      <w:marTop w:val="0"/>
      <w:marBottom w:val="0"/>
      <w:divBdr>
        <w:top w:val="none" w:sz="0" w:space="0" w:color="auto"/>
        <w:left w:val="none" w:sz="0" w:space="0" w:color="auto"/>
        <w:bottom w:val="none" w:sz="0" w:space="0" w:color="auto"/>
        <w:right w:val="none" w:sz="0" w:space="0" w:color="auto"/>
      </w:divBdr>
    </w:div>
    <w:div w:id="16853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health/files/eudralex/vol-10/2010_c82_01/2010_c82_01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rz\Documents\Toolbox-Fact-She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Toolbox-Fact-Sheet-template.dotx</Template>
  <TotalTime>25</TotalTime>
  <Pages>2</Pages>
  <Words>513</Words>
  <Characters>2929</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DIA</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Scherz</dc:creator>
  <cp:lastModifiedBy>Heidi Scherz</cp:lastModifiedBy>
  <cp:revision>4</cp:revision>
  <cp:lastPrinted>2014-10-24T13:00:00Z</cp:lastPrinted>
  <dcterms:created xsi:type="dcterms:W3CDTF">2015-08-12T13:20:00Z</dcterms:created>
  <dcterms:modified xsi:type="dcterms:W3CDTF">2015-08-12T13:57:00Z</dcterms:modified>
</cp:coreProperties>
</file>