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39" w:rsidRPr="00286ECA" w:rsidRDefault="00ED1139" w:rsidP="005B2D2D">
      <w:pPr>
        <w:spacing w:before="120" w:after="120"/>
        <w:rPr>
          <w:b/>
          <w:sz w:val="36"/>
          <w:szCs w:val="36"/>
        </w:rPr>
      </w:pPr>
      <w:r>
        <w:rPr>
          <w:b/>
          <w:sz w:val="36"/>
          <w:szCs w:val="36"/>
        </w:rPr>
        <w:t>Fiche de données : Fabrication d'un médicament – Preuves de concept</w:t>
      </w:r>
    </w:p>
    <w:p w:rsidR="005B2D2D" w:rsidRDefault="005B2D2D" w:rsidP="005B2D2D">
      <w:pPr>
        <w:spacing w:before="120" w:after="120"/>
        <w:rPr>
          <w:b/>
          <w:sz w:val="36"/>
          <w:szCs w:val="36"/>
        </w:rPr>
      </w:pPr>
    </w:p>
    <w:p w:rsidR="0049428F" w:rsidRDefault="0049428F" w:rsidP="005B2D2D">
      <w:pPr>
        <w:spacing w:before="120" w:after="120"/>
        <w:rPr>
          <w:b/>
          <w:sz w:val="22"/>
        </w:rPr>
      </w:pPr>
      <w:r>
        <w:rPr>
          <w:b/>
          <w:sz w:val="22"/>
        </w:rPr>
        <w:t>Études cliniques de phase II, preuve de concept</w:t>
      </w:r>
    </w:p>
    <w:p w:rsidR="00AF08F6" w:rsidRDefault="00AF08F6" w:rsidP="005B2D2D">
      <w:pPr>
        <w:spacing w:before="120" w:after="120"/>
        <w:rPr>
          <w:b/>
          <w:sz w:val="22"/>
        </w:rPr>
      </w:pPr>
    </w:p>
    <w:p w:rsidR="00F605B9" w:rsidRPr="00F605B9" w:rsidRDefault="00F605B9" w:rsidP="00F605B9">
      <w:pPr>
        <w:shd w:val="clear" w:color="auto" w:fill="FFFFFF"/>
        <w:spacing w:before="100" w:beforeAutospacing="1" w:after="225" w:line="300" w:lineRule="atLeast"/>
        <w:rPr>
          <w:rFonts w:eastAsia="Times New Roman" w:cs="Arial"/>
          <w:sz w:val="22"/>
          <w:lang w:eastAsia="en-GB"/>
        </w:rPr>
      </w:pPr>
      <w:r>
        <w:rPr>
          <w:sz w:val="22"/>
          <w:rFonts w:eastAsia="Times New Roman" w:cs="Arial"/>
        </w:rPr>
        <w:t xml:space="preserve">Lorsque les résultats de l'étude conduite chez des volontaires ont montré que le processus de développement pouvait être poursuivi sans danger, l'étape suivante consiste à débuter des essais cliniques chez des patients atteints de la maladie que l'on souhaite traiter. Les directives et réglementations sont les mêmes que pour l'étape précédente. </w:t>
      </w:r>
    </w:p>
    <w:p w:rsidR="00F605B9" w:rsidRPr="00F605B9" w:rsidRDefault="00F605B9" w:rsidP="00F605B9">
      <w:pPr>
        <w:shd w:val="clear" w:color="auto" w:fill="FFFFFF"/>
        <w:spacing w:before="100" w:beforeAutospacing="1" w:after="225" w:line="300" w:lineRule="atLeast"/>
        <w:rPr>
          <w:rFonts w:eastAsia="Times New Roman" w:cs="Arial"/>
          <w:sz w:val="22"/>
          <w:lang w:eastAsia="en-GB"/>
        </w:rPr>
      </w:pPr>
    </w:p>
    <w:p w:rsidR="00F605B9" w:rsidRPr="00F605B9" w:rsidRDefault="00F605B9" w:rsidP="00F605B9">
      <w:pPr>
        <w:shd w:val="clear" w:color="auto" w:fill="FFFFFF"/>
        <w:spacing w:before="100" w:beforeAutospacing="1" w:after="225" w:line="300" w:lineRule="atLeast"/>
        <w:rPr>
          <w:rFonts w:eastAsia="Times New Roman" w:cs="Arial"/>
          <w:sz w:val="22"/>
          <w:lang w:eastAsia="en-GB"/>
        </w:rPr>
      </w:pPr>
      <w:r>
        <w:rPr>
          <w:sz w:val="22"/>
          <w:rFonts w:eastAsia="Times New Roman" w:cs="Arial"/>
        </w:rPr>
        <w:t>Dans les études de phases II et III, deux groupes de traitement sont généralement constitués. Un groupe reçoit le médicament actif et l'autre reçoit le meilleur traitement actuellement disponible ou un médicament factice qui n'a pas d'effet sur l'organisme (appelé « placebo »). Ces études sont normalement conduites sous forme « randomisée » et « en double aveugle ».</w:t>
      </w:r>
    </w:p>
    <w:p w:rsidR="00F605B9" w:rsidRPr="00F605B9" w:rsidRDefault="00F605B9" w:rsidP="00F605B9">
      <w:pPr>
        <w:shd w:val="clear" w:color="auto" w:fill="FFFFFF"/>
        <w:spacing w:before="100" w:beforeAutospacing="1" w:after="225" w:line="300" w:lineRule="atLeast"/>
        <w:rPr>
          <w:rFonts w:eastAsia="Times New Roman" w:cs="Arial"/>
          <w:sz w:val="22"/>
          <w:lang w:eastAsia="en-GB"/>
        </w:rPr>
      </w:pPr>
    </w:p>
    <w:p w:rsidR="00F605B9" w:rsidRPr="00F605B9" w:rsidRDefault="00F605B9" w:rsidP="00F605B9">
      <w:pPr>
        <w:shd w:val="clear" w:color="auto" w:fill="FFFFFF"/>
        <w:spacing w:before="100" w:beforeAutospacing="1" w:after="225" w:line="300" w:lineRule="atLeast"/>
        <w:rPr>
          <w:rFonts w:eastAsia="Times New Roman" w:cs="Arial"/>
          <w:sz w:val="22"/>
          <w:lang w:eastAsia="en-GB"/>
        </w:rPr>
      </w:pPr>
      <w:r>
        <w:rPr>
          <w:sz w:val="22"/>
          <w:rFonts w:eastAsia="Times New Roman" w:cs="Arial"/>
        </w:rPr>
        <w:t xml:space="preserve">Le terme « double aveugle » signifie que le médecin et le participant ne savent pas qui reçoit le médicament actif ou le meilleur traitement actuel/placebo. </w:t>
      </w:r>
    </w:p>
    <w:p w:rsidR="00F605B9" w:rsidRPr="00F605B9" w:rsidRDefault="00F605B9" w:rsidP="00F605B9">
      <w:pPr>
        <w:shd w:val="clear" w:color="auto" w:fill="FFFFFF"/>
        <w:spacing w:before="100" w:beforeAutospacing="1" w:after="225" w:line="300" w:lineRule="atLeast"/>
        <w:rPr>
          <w:rFonts w:eastAsia="Times New Roman" w:cs="Arial"/>
          <w:sz w:val="22"/>
          <w:lang w:eastAsia="en-GB"/>
        </w:rPr>
      </w:pPr>
      <w:r>
        <w:rPr>
          <w:sz w:val="22"/>
          <w:rFonts w:eastAsia="Times New Roman" w:cs="Arial"/>
        </w:rPr>
        <w:t xml:space="preserve">Le terme « randomisée » signifie que les groupes de traitement sont choisis par tirage au sort, généralement par ordinateur qui génère un code aléatoire. Il ne peut être influencé par le médecin ou par n'importe qui d'autre. </w:t>
      </w:r>
    </w:p>
    <w:p w:rsidR="00F605B9" w:rsidRPr="00F605B9" w:rsidRDefault="00F605B9" w:rsidP="00F605B9">
      <w:pPr>
        <w:shd w:val="clear" w:color="auto" w:fill="FFFFFF"/>
        <w:spacing w:before="100" w:beforeAutospacing="1" w:after="225" w:line="300" w:lineRule="atLeast"/>
        <w:rPr>
          <w:rFonts w:eastAsia="Times New Roman" w:cs="Arial"/>
          <w:sz w:val="22"/>
          <w:lang w:eastAsia="en-GB"/>
        </w:rPr>
      </w:pPr>
      <w:r>
        <w:rPr>
          <w:sz w:val="22"/>
          <w:rFonts w:eastAsia="Times New Roman" w:cs="Arial"/>
        </w:rPr>
        <w:t>Le terme « contrôlée par placebo » signifie que certains participants recevront un placebo, exactement dans les mêmes conditions que le médicament actif, ce qui permet de distinguer les effets réellement liés au médicament. Par exemple, si un participant à une étude se plaint de maux de tête, il est important de déterminer s'ils sont liés au médicament actif. Si dans le groupe recevant le placebo, le nombre de participants se plaignant de maux de tête est le même que dans le groupe du médicament actif, cela montre que ces maux de tête ne peuvent pas être dus uniquement au médicament actif.</w:t>
      </w:r>
    </w:p>
    <w:p w:rsidR="00F605B9" w:rsidRPr="00F605B9" w:rsidRDefault="00F605B9" w:rsidP="00F605B9">
      <w:pPr>
        <w:shd w:val="clear" w:color="auto" w:fill="FFFFFF"/>
        <w:spacing w:before="100" w:beforeAutospacing="1" w:after="225" w:line="300" w:lineRule="atLeast"/>
        <w:rPr>
          <w:rFonts w:eastAsia="Times New Roman" w:cs="Arial"/>
          <w:sz w:val="22"/>
          <w:lang w:eastAsia="en-GB"/>
        </w:rPr>
      </w:pPr>
    </w:p>
    <w:p w:rsidR="00F605B9" w:rsidRPr="00F605B9" w:rsidRDefault="00F605B9" w:rsidP="00F605B9">
      <w:pPr>
        <w:shd w:val="clear" w:color="auto" w:fill="FFFFFF"/>
        <w:spacing w:before="100" w:beforeAutospacing="1" w:after="225" w:line="300" w:lineRule="atLeast"/>
        <w:rPr>
          <w:rFonts w:eastAsia="Times New Roman" w:cs="Arial"/>
          <w:sz w:val="22"/>
          <w:lang w:eastAsia="en-GB"/>
        </w:rPr>
      </w:pPr>
      <w:r>
        <w:rPr>
          <w:sz w:val="22"/>
          <w:rFonts w:eastAsia="Times New Roman" w:cs="Arial"/>
        </w:rPr>
        <w:t>Tous les détails de l'essai sont décrits dans le protocole d'étude et les données sont recueillies dans le cahier d'observation (CRF)</w:t>
      </w:r>
      <w:bookmarkStart w:id="0" w:name="_GoBack"/>
      <w:bookmarkEnd w:id="0"/>
      <w:r>
        <w:rPr>
          <w:sz w:val="22"/>
          <w:rFonts w:eastAsia="Times New Roman" w:cs="Arial"/>
        </w:rPr>
        <w:t>. Les résultats sont analysés par des tests statistiques.</w:t>
      </w:r>
    </w:p>
    <w:p w:rsidR="00286ECA" w:rsidRPr="00286ECA" w:rsidRDefault="00286ECA" w:rsidP="00286ECA">
      <w:pPr>
        <w:shd w:val="clear" w:color="auto" w:fill="FFFFFF"/>
        <w:spacing w:before="100" w:beforeAutospacing="1" w:after="225" w:line="300" w:lineRule="atLeast"/>
        <w:rPr>
          <w:rFonts w:eastAsia="Times New Roman" w:cs="Arial"/>
          <w:sz w:val="22"/>
          <w:lang w:eastAsia="en-GB"/>
        </w:rPr>
      </w:pPr>
      <w:r>
        <w:rPr>
          <w:sz w:val="22"/>
          <w:rFonts w:eastAsia="Times New Roman" w:cs="Arial"/>
        </w:rPr>
        <w:t>Plus les connaissances sur l'effet du médicament sur les patients à ce stade sont importantes, plus il est facile de décider si le développement du composé candidat doit être poursuivi. Toutefois, les études de phase II sont trop petites pour apporter suffisamment de preuves de l'efficacité et de la sécurité du médicament. Il n'en demeure pas moins que l'accumulation d'informations sur l'action du médicament chez les patients réduit le risque d'échec à l'étape suivante (phase III ou développement en vue du lancement), qui est la phase de développement la plus compliquée et la plus coûteuse.</w:t>
      </w:r>
    </w:p>
    <w:p w:rsidR="00286ECA" w:rsidRPr="00286ECA" w:rsidRDefault="00286ECA" w:rsidP="00286ECA">
      <w:pPr>
        <w:widowControl w:val="0"/>
        <w:shd w:val="clear" w:color="auto" w:fill="FFFFFF"/>
        <w:spacing w:before="100" w:beforeAutospacing="1" w:after="225" w:line="300" w:lineRule="atLeast"/>
        <w:rPr>
          <w:rFonts w:eastAsia="Times New Roman" w:cs="Arial"/>
          <w:sz w:val="22"/>
          <w:lang w:eastAsia="en-GB"/>
        </w:rPr>
      </w:pPr>
    </w:p>
    <w:p w:rsidR="00286ECA" w:rsidRPr="00286ECA" w:rsidRDefault="00286ECA" w:rsidP="00053705">
      <w:pPr>
        <w:widowControl w:val="0"/>
        <w:shd w:val="clear" w:color="auto" w:fill="FFFFFF"/>
        <w:spacing w:before="100" w:beforeAutospacing="1" w:after="225" w:line="300" w:lineRule="atLeast"/>
        <w:rPr>
          <w:sz w:val="22"/>
        </w:rPr>
      </w:pPr>
      <w:r>
        <w:rPr>
          <w:sz w:val="22"/>
          <w:rFonts w:eastAsia="Times New Roman" w:cs="Arial"/>
        </w:rPr>
        <w:t>Les participants à ces études de phase II étant des patients, elles sont généralement conduites dans plusieurs centres hospitaliers par des médecins hospitaliers appelés investigateurs, contrairement aux études de phase I qui se déroulent dans des unités spéciales. La conduite de l'étude dans plusieurs centres à la fois est plus compliquée que lorsque l'étude ne se déroule que dans un seul centre. Tout ceci doit être coordonné par l'équipe mondiale de l'étude.</w:t>
      </w:r>
    </w:p>
    <w:sectPr w:rsidR="00286ECA" w:rsidRPr="00286ECA" w:rsidSect="008F1493">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DCA" w:rsidRDefault="00980DCA" w:rsidP="00527DB1">
      <w:pPr>
        <w:spacing w:before="0"/>
      </w:pPr>
      <w:r>
        <w:separator/>
      </w:r>
    </w:p>
  </w:endnote>
  <w:endnote w:type="continuationSeparator" w:id="0">
    <w:p w:rsidR="00980DCA" w:rsidRDefault="00980DCA" w:rsidP="00527DB1">
      <w:pPr>
        <w:spacing w:before="0"/>
      </w:pPr>
      <w:r>
        <w:continuationSeparator/>
      </w:r>
    </w:p>
  </w:endnote>
  <w:endnote w:type="continuationNotice" w:id="1">
    <w:p w:rsidR="00980DCA" w:rsidRDefault="00980DC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2516"/>
      <w:docPartObj>
        <w:docPartGallery w:val="Page Numbers (Bottom of Page)"/>
        <w:docPartUnique/>
      </w:docPartObj>
    </w:sdtPr>
    <w:sdtEndPr/>
    <w:sdtContent>
      <w:p w:rsidR="00FA019B" w:rsidRDefault="00ED1139" w:rsidP="00FA019B">
        <w:pPr>
          <w:pStyle w:val="Footer"/>
          <w:jc w:val="right"/>
        </w:pPr>
        <w:r>
          <w:drawing>
            <wp:anchor distT="0" distB="0" distL="114300" distR="114300" simplePos="0" relativeHeight="251663360" behindDoc="0" locked="0" layoutInCell="1" allowOverlap="1">
              <wp:simplePos x="0" y="0"/>
              <wp:positionH relativeFrom="column">
                <wp:posOffset>-54763</wp:posOffset>
              </wp:positionH>
              <wp:positionV relativeFrom="paragraph">
                <wp:posOffset>-15519</wp:posOffset>
              </wp:positionV>
              <wp:extent cx="770992" cy="270662"/>
              <wp:effectExtent l="19050" t="0" r="0" b="0"/>
              <wp:wrapNone/>
              <wp:docPr id="6" name="Picture 1" descr="by-nc-sa.png"/>
              <wp:cNvGraphicFramePr/>
              <a:graphic xmlns:a="http://schemas.openxmlformats.org/drawingml/2006/main">
                <a:graphicData uri="http://schemas.openxmlformats.org/drawingml/2006/picture">
                  <pic:pic xmlns:pic="http://schemas.openxmlformats.org/drawingml/2006/picture">
                    <pic:nvPicPr>
                      <pic:cNvPr id="9" name="Picture 8" descr="by-nc-sa.png"/>
                      <pic:cNvPicPr>
                        <a:picLocks noChangeAspect="1"/>
                      </pic:cNvPicPr>
                    </pic:nvPicPr>
                    <pic:blipFill>
                      <a:blip r:embed="rId1" cstate="print"/>
                      <a:stretch>
                        <a:fillRect/>
                      </a:stretch>
                    </pic:blipFill>
                    <pic:spPr>
                      <a:xfrm>
                        <a:off x="0" y="0"/>
                        <a:ext cx="770992" cy="270662"/>
                      </a:xfrm>
                      <a:prstGeom prst="rect">
                        <a:avLst/>
                      </a:prstGeom>
                    </pic:spPr>
                  </pic:pic>
                </a:graphicData>
              </a:graphic>
            </wp:anchor>
          </w:drawing>
        </w:r>
        <w:r>
          <w:fldChar w:fldCharType="begin"/>
        </w:r>
        <w:r w:rsidR="00BD5560">
          <w:instrText xml:space="preserve"> PAGE   \* MERGEFORMAT </w:instrText>
        </w:r>
        <w:r w:rsidR="00BD5560">
          <w:fldChar w:fldCharType="separate"/>
        </w:r>
        <w:r w:rsidR="00F605B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DCA" w:rsidRDefault="00980DCA" w:rsidP="00527DB1">
      <w:pPr>
        <w:spacing w:before="0"/>
      </w:pPr>
      <w:r>
        <w:separator/>
      </w:r>
    </w:p>
  </w:footnote>
  <w:footnote w:type="continuationSeparator" w:id="0">
    <w:p w:rsidR="00980DCA" w:rsidRDefault="00980DCA" w:rsidP="00527DB1">
      <w:pPr>
        <w:spacing w:before="0"/>
      </w:pPr>
      <w:r>
        <w:continuationSeparator/>
      </w:r>
    </w:p>
  </w:footnote>
  <w:footnote w:type="continuationNotice" w:id="1">
    <w:p w:rsidR="00980DCA" w:rsidRDefault="00980DCA">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135" w:rsidRDefault="002E7650" w:rsidP="00FA019B">
    <w:pPr>
      <w:pStyle w:val="Header"/>
      <w:tabs>
        <w:tab w:val="clear" w:pos="9072"/>
        <w:tab w:val="left" w:pos="1279"/>
        <w:tab w:val="right" w:pos="9070"/>
      </w:tabs>
    </w:pPr>
    <w:r>
      <mc:AlternateContent>
        <mc:Choice Requires="wps">
          <w:drawing>
            <wp:anchor distT="0" distB="0" distL="114300" distR="114300" simplePos="0" relativeHeight="251664384" behindDoc="0" locked="0" layoutInCell="1" allowOverlap="1">
              <wp:simplePos x="0" y="0"/>
              <wp:positionH relativeFrom="column">
                <wp:posOffset>1206500</wp:posOffset>
              </wp:positionH>
              <wp:positionV relativeFrom="paragraph">
                <wp:posOffset>441325</wp:posOffset>
              </wp:positionV>
              <wp:extent cx="1388745" cy="241935"/>
              <wp:effectExtent l="0" t="3175"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139" w:rsidRPr="00047E36" w:rsidRDefault="00ED1139" w:rsidP="00ED1139">
                          <w:pPr>
                            <w:pStyle w:val="Footer"/>
                          </w:pPr>
                          <w:r>
                            <w:t>http://www.eupati.eu</w:t>
                          </w:r>
                        </w:p>
                        <w:p w:rsidR="00ED1139" w:rsidRDefault="00ED1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5pt;margin-top:34.75pt;width:109.3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qT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" filled="f" stroked="f">
              <v:textbox>
                <w:txbxContent>
                  <w:p w:rsidR="00ED1139" w:rsidRPr="00047E36" w:rsidRDefault="00ED1139" w:rsidP="00ED1139">
                    <w:pPr>
                      <w:pStyle w:val="Footer"/>
                    </w:pPr>
                    <w:r>
                      <w:t>http://www.eupati.eu</w:t>
                    </w:r>
                  </w:p>
                  <w:p w:rsidR="00ED1139" w:rsidRDefault="00ED1139"/>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1198880</wp:posOffset>
              </wp:positionH>
              <wp:positionV relativeFrom="paragraph">
                <wp:posOffset>20955</wp:posOffset>
              </wp:positionV>
              <wp:extent cx="2339340" cy="46799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19B" w:rsidRPr="00ED1139" w:rsidRDefault="00FA019B" w:rsidP="00ED1139">
                          <w:pPr>
                            <w:rPr>
                              <w:color w:val="551A8B"/>
                              <w:sz w:val="24"/>
                              <w:szCs w:val="12"/>
                              <w:lang w:val="en-IE"/>
                            </w:rPr>
                          </w:pPr>
                          <w:r>
                            <w:rPr>
                              <w:sz w:val="24"/>
                              <w:szCs w:val="12"/>
                            </w:rPr>
                            <w:t>Académie</w:t>
                          </w:r>
                          <w:r>
                            <w:rPr>
                              <w:color w:val="551A8B"/>
                              <w:sz w:val="24"/>
                              <w:szCs w:val="12"/>
                            </w:rPr>
                            <w:t xml:space="preserve"> </w:t>
                          </w:r>
                          <w:r>
                            <w:rPr>
                              <w:color w:val="022F68"/>
                              <w:sz w:val="24"/>
                              <w:szCs w:val="12"/>
                            </w:rPr>
                            <w:t>européenne de patients</w:t>
                          </w:r>
                          <w:r>
                            <w:rPr>
                              <w:color w:val="551A8B"/>
                              <w:sz w:val="24"/>
                              <w:szCs w:val="12"/>
                            </w:rPr>
                            <w:t xml:space="preserve"> </w:t>
                          </w:r>
                          <w:r>
                            <w:rPr>
                              <w:sz w:val="24"/>
                              <w:szCs w:val="12"/>
                            </w:rPr>
                            <w:t>sur l'innovation thérapeutique</w:t>
                          </w:r>
                        </w:p>
                        <w:p w:rsidR="00FA019B" w:rsidRPr="00ED1139" w:rsidRDefault="00FA019B" w:rsidP="00ED1139">
                          <w:pPr>
                            <w:rPr>
                              <w:sz w:val="24"/>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4.4pt;margin-top:1.65pt;width:184.2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75tg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" filled="f" stroked="f">
              <v:textbox>
                <w:txbxContent>
                  <w:p w:rsidR="00FA019B" w:rsidRPr="00ED1139" w:rsidRDefault="00FA019B" w:rsidP="00ED1139">
                    <w:pPr>
                      <w:rPr>
                        <w:color w:val="551A8B"/>
                        <w:sz w:val="24"/>
                        <w:szCs w:val="12"/>
                        <w:lang w:val="en-IE"/>
                      </w:rPr>
                    </w:pPr>
                    <w:r>
                      <w:rPr>
                        <w:sz w:val="24"/>
                        <w:szCs w:val="12"/>
                      </w:rPr>
                      <w:t>Académie</w:t>
                    </w:r>
                    <w:r>
                      <w:rPr>
                        <w:color w:val="551A8B"/>
                        <w:sz w:val="24"/>
                        <w:szCs w:val="12"/>
                      </w:rPr>
                      <w:t xml:space="preserve"> </w:t>
                    </w:r>
                    <w:r>
                      <w:rPr>
                        <w:color w:val="022F68"/>
                        <w:sz w:val="24"/>
                        <w:szCs w:val="12"/>
                      </w:rPr>
                      <w:t>européenne de patients</w:t>
                    </w:r>
                    <w:r>
                      <w:rPr>
                        <w:color w:val="551A8B"/>
                        <w:sz w:val="24"/>
                        <w:szCs w:val="12"/>
                      </w:rPr>
                      <w:t xml:space="preserve"> </w:t>
                    </w:r>
                    <w:r>
                      <w:rPr>
                        <w:sz w:val="24"/>
                        <w:szCs w:val="12"/>
                      </w:rPr>
                      <w:t>sur l'innovation thérapeutique</w:t>
                    </w:r>
                  </w:p>
                  <w:p w:rsidR="00FA019B" w:rsidRPr="00ED1139" w:rsidRDefault="00FA019B" w:rsidP="00ED1139">
                    <w:pPr>
                      <w:rPr>
                        <w:sz w:val="24"/>
                        <w:szCs w:val="12"/>
                      </w:rPr>
                    </w:pPr>
                  </w:p>
                </w:txbxContent>
              </v:textbox>
            </v:shape>
          </w:pict>
        </mc:Fallback>
      </mc:AlternateContent>
    </w:r>
    <w:r>
      <w:drawing>
        <wp:inline distT="0" distB="0" distL="0" distR="0">
          <wp:extent cx="1057238" cy="589658"/>
          <wp:effectExtent l="19050" t="0" r="0" b="0"/>
          <wp:docPr id="7" name="Bild 1" descr="Beschreibung: EUPATI-Logo-web-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EUPATI-Logo-web-update"/>
                  <pic:cNvPicPr>
                    <a:picLocks noChangeAspect="1" noChangeArrowheads="1"/>
                  </pic:cNvPicPr>
                </pic:nvPicPr>
                <pic:blipFill>
                  <a:blip r:embed="rId1"/>
                  <a:srcRect b="20216"/>
                  <a:stretch>
                    <a:fillRect/>
                  </a:stretch>
                </pic:blipFill>
                <pic:spPr bwMode="auto">
                  <a:xfrm>
                    <a:off x="0" y="0"/>
                    <a:ext cx="1055200" cy="588521"/>
                  </a:xfrm>
                  <a:prstGeom prst="rect">
                    <a:avLst/>
                  </a:prstGeom>
                  <a:noFill/>
                  <a:ln w="9525">
                    <a:noFill/>
                    <a:miter lim="800000"/>
                    <a:headEnd/>
                    <a:tailEnd/>
                  </a:ln>
                </pic:spPr>
              </pic:pic>
            </a:graphicData>
          </a:graphic>
        </wp:inline>
      </w:drawing>
    </w:r>
    <w:r>
      <w:tab/>
      <w:tab/>
      <w:tab/>
    </w:r>
  </w:p>
  <w:p w:rsidR="001C1135" w:rsidRDefault="001C1135">
    <w:pPr>
      <w:pStyle w:val="Header"/>
    </w:pPr>
  </w:p>
  <w:p w:rsidR="00047E36" w:rsidRDefault="00047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3E8E"/>
    <w:multiLevelType w:val="hybridMultilevel"/>
    <w:tmpl w:val="3CC22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AF20A4"/>
    <w:multiLevelType w:val="hybridMultilevel"/>
    <w:tmpl w:val="F98E5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C5EA9"/>
    <w:multiLevelType w:val="hybridMultilevel"/>
    <w:tmpl w:val="788A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82A94"/>
    <w:multiLevelType w:val="multilevel"/>
    <w:tmpl w:val="3F32B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133D6D"/>
    <w:multiLevelType w:val="hybridMultilevel"/>
    <w:tmpl w:val="9BD821C6"/>
    <w:lvl w:ilvl="0" w:tplc="2A38F960">
      <w:start w:val="200"/>
      <w:numFmt w:val="bullet"/>
      <w:lvlText w:val=""/>
      <w:lvlJc w:val="left"/>
      <w:pPr>
        <w:ind w:left="1060" w:hanging="70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C2C1CFD"/>
    <w:multiLevelType w:val="hybridMultilevel"/>
    <w:tmpl w:val="A30A6A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4F750DCD"/>
    <w:multiLevelType w:val="hybridMultilevel"/>
    <w:tmpl w:val="3960A4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05873D9"/>
    <w:multiLevelType w:val="hybridMultilevel"/>
    <w:tmpl w:val="5AA0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F51D3A"/>
    <w:multiLevelType w:val="hybridMultilevel"/>
    <w:tmpl w:val="CF30E3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429509C"/>
    <w:multiLevelType w:val="hybridMultilevel"/>
    <w:tmpl w:val="5C8C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A0186F"/>
    <w:multiLevelType w:val="hybridMultilevel"/>
    <w:tmpl w:val="1FF42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2574956"/>
    <w:multiLevelType w:val="hybridMultilevel"/>
    <w:tmpl w:val="54DE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1553E4"/>
    <w:multiLevelType w:val="hybridMultilevel"/>
    <w:tmpl w:val="6F64B7E8"/>
    <w:lvl w:ilvl="0" w:tplc="3E0477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4"/>
  </w:num>
  <w:num w:numId="6">
    <w:abstractNumId w:val="12"/>
  </w:num>
  <w:num w:numId="7">
    <w:abstractNumId w:val="6"/>
  </w:num>
  <w:num w:numId="8">
    <w:abstractNumId w:val="7"/>
  </w:num>
  <w:num w:numId="9">
    <w:abstractNumId w:val="9"/>
  </w:num>
  <w:num w:numId="10">
    <w:abstractNumId w:val="3"/>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8F"/>
    <w:rsid w:val="00000666"/>
    <w:rsid w:val="00037816"/>
    <w:rsid w:val="0004195D"/>
    <w:rsid w:val="00047DAD"/>
    <w:rsid w:val="00047E36"/>
    <w:rsid w:val="0005038B"/>
    <w:rsid w:val="00053705"/>
    <w:rsid w:val="000559B8"/>
    <w:rsid w:val="00063556"/>
    <w:rsid w:val="00074E0E"/>
    <w:rsid w:val="00077E83"/>
    <w:rsid w:val="00082812"/>
    <w:rsid w:val="000A2B24"/>
    <w:rsid w:val="000E6FBC"/>
    <w:rsid w:val="000E7D37"/>
    <w:rsid w:val="000F3493"/>
    <w:rsid w:val="000F4ADA"/>
    <w:rsid w:val="001115FA"/>
    <w:rsid w:val="00112F4E"/>
    <w:rsid w:val="001176C6"/>
    <w:rsid w:val="00126514"/>
    <w:rsid w:val="00153753"/>
    <w:rsid w:val="001701AA"/>
    <w:rsid w:val="001928D4"/>
    <w:rsid w:val="001A06C5"/>
    <w:rsid w:val="001A6637"/>
    <w:rsid w:val="001C1135"/>
    <w:rsid w:val="001C11DC"/>
    <w:rsid w:val="001C1EC1"/>
    <w:rsid w:val="001D02FD"/>
    <w:rsid w:val="001E65BE"/>
    <w:rsid w:val="002042C5"/>
    <w:rsid w:val="002114E4"/>
    <w:rsid w:val="00222A6E"/>
    <w:rsid w:val="00274B8F"/>
    <w:rsid w:val="00280975"/>
    <w:rsid w:val="00286ECA"/>
    <w:rsid w:val="0029337E"/>
    <w:rsid w:val="002B4E86"/>
    <w:rsid w:val="002D4053"/>
    <w:rsid w:val="002E3270"/>
    <w:rsid w:val="002E7650"/>
    <w:rsid w:val="002F27F8"/>
    <w:rsid w:val="0033333B"/>
    <w:rsid w:val="003430FB"/>
    <w:rsid w:val="003440FF"/>
    <w:rsid w:val="00396DFD"/>
    <w:rsid w:val="003B2377"/>
    <w:rsid w:val="003C681E"/>
    <w:rsid w:val="003D3703"/>
    <w:rsid w:val="003D79A3"/>
    <w:rsid w:val="003F50D6"/>
    <w:rsid w:val="00410919"/>
    <w:rsid w:val="00410AC8"/>
    <w:rsid w:val="00411B09"/>
    <w:rsid w:val="00433D27"/>
    <w:rsid w:val="00455493"/>
    <w:rsid w:val="0049428F"/>
    <w:rsid w:val="004B0D48"/>
    <w:rsid w:val="004B0F48"/>
    <w:rsid w:val="004C02B4"/>
    <w:rsid w:val="004F7058"/>
    <w:rsid w:val="00502880"/>
    <w:rsid w:val="00506943"/>
    <w:rsid w:val="00522128"/>
    <w:rsid w:val="00527DB1"/>
    <w:rsid w:val="00533052"/>
    <w:rsid w:val="0054367C"/>
    <w:rsid w:val="00556B6D"/>
    <w:rsid w:val="005608E5"/>
    <w:rsid w:val="00560E60"/>
    <w:rsid w:val="0057410A"/>
    <w:rsid w:val="00575AB1"/>
    <w:rsid w:val="00593FE8"/>
    <w:rsid w:val="005A7863"/>
    <w:rsid w:val="005B1018"/>
    <w:rsid w:val="005B1FFD"/>
    <w:rsid w:val="005B2D2D"/>
    <w:rsid w:val="005C29CD"/>
    <w:rsid w:val="005D3C98"/>
    <w:rsid w:val="005D7C96"/>
    <w:rsid w:val="00602F85"/>
    <w:rsid w:val="00616199"/>
    <w:rsid w:val="00621E44"/>
    <w:rsid w:val="00653E43"/>
    <w:rsid w:val="00667677"/>
    <w:rsid w:val="006706A4"/>
    <w:rsid w:val="00684D01"/>
    <w:rsid w:val="0069371A"/>
    <w:rsid w:val="00694B23"/>
    <w:rsid w:val="00696A72"/>
    <w:rsid w:val="006E6477"/>
    <w:rsid w:val="006F4AD1"/>
    <w:rsid w:val="00701A73"/>
    <w:rsid w:val="00737119"/>
    <w:rsid w:val="007621A4"/>
    <w:rsid w:val="007705E8"/>
    <w:rsid w:val="00782A28"/>
    <w:rsid w:val="007866C9"/>
    <w:rsid w:val="0079540F"/>
    <w:rsid w:val="007979F2"/>
    <w:rsid w:val="007B0543"/>
    <w:rsid w:val="007B39DB"/>
    <w:rsid w:val="007D24E4"/>
    <w:rsid w:val="007D5D30"/>
    <w:rsid w:val="007F5390"/>
    <w:rsid w:val="00810B4D"/>
    <w:rsid w:val="00830662"/>
    <w:rsid w:val="00842CF6"/>
    <w:rsid w:val="008853D7"/>
    <w:rsid w:val="008D1D06"/>
    <w:rsid w:val="008E036F"/>
    <w:rsid w:val="008E0A12"/>
    <w:rsid w:val="008E4C8E"/>
    <w:rsid w:val="008F0BC0"/>
    <w:rsid w:val="008F1493"/>
    <w:rsid w:val="00921DE1"/>
    <w:rsid w:val="00923AEC"/>
    <w:rsid w:val="00927316"/>
    <w:rsid w:val="009523E0"/>
    <w:rsid w:val="00957D2B"/>
    <w:rsid w:val="00962F21"/>
    <w:rsid w:val="009701A0"/>
    <w:rsid w:val="009731EF"/>
    <w:rsid w:val="0097365C"/>
    <w:rsid w:val="00980DCA"/>
    <w:rsid w:val="00986800"/>
    <w:rsid w:val="00992BE5"/>
    <w:rsid w:val="009A08B3"/>
    <w:rsid w:val="009B1789"/>
    <w:rsid w:val="009B1C86"/>
    <w:rsid w:val="009B23D0"/>
    <w:rsid w:val="009B766E"/>
    <w:rsid w:val="009E144B"/>
    <w:rsid w:val="00A03A51"/>
    <w:rsid w:val="00A43C6E"/>
    <w:rsid w:val="00A50E00"/>
    <w:rsid w:val="00A5288F"/>
    <w:rsid w:val="00A95B70"/>
    <w:rsid w:val="00AA25FD"/>
    <w:rsid w:val="00AA6ACC"/>
    <w:rsid w:val="00AA6BFA"/>
    <w:rsid w:val="00AE517C"/>
    <w:rsid w:val="00AF08F6"/>
    <w:rsid w:val="00AF1AD7"/>
    <w:rsid w:val="00B22CC3"/>
    <w:rsid w:val="00B26228"/>
    <w:rsid w:val="00B27E46"/>
    <w:rsid w:val="00B631C2"/>
    <w:rsid w:val="00B72BDB"/>
    <w:rsid w:val="00BA5D8F"/>
    <w:rsid w:val="00BC194A"/>
    <w:rsid w:val="00BC767C"/>
    <w:rsid w:val="00BD5560"/>
    <w:rsid w:val="00BE0FEC"/>
    <w:rsid w:val="00BE669A"/>
    <w:rsid w:val="00C130C1"/>
    <w:rsid w:val="00C2703B"/>
    <w:rsid w:val="00C46A74"/>
    <w:rsid w:val="00C51DA5"/>
    <w:rsid w:val="00C52B76"/>
    <w:rsid w:val="00C53246"/>
    <w:rsid w:val="00C84033"/>
    <w:rsid w:val="00CA2000"/>
    <w:rsid w:val="00CB506C"/>
    <w:rsid w:val="00CD508F"/>
    <w:rsid w:val="00CF53A1"/>
    <w:rsid w:val="00CF7C2C"/>
    <w:rsid w:val="00D0732B"/>
    <w:rsid w:val="00D176BB"/>
    <w:rsid w:val="00D22DD5"/>
    <w:rsid w:val="00D22E6F"/>
    <w:rsid w:val="00D310EA"/>
    <w:rsid w:val="00D4122C"/>
    <w:rsid w:val="00D418B8"/>
    <w:rsid w:val="00D4452A"/>
    <w:rsid w:val="00D5131A"/>
    <w:rsid w:val="00D55908"/>
    <w:rsid w:val="00D9392E"/>
    <w:rsid w:val="00DA22AF"/>
    <w:rsid w:val="00DC0EEA"/>
    <w:rsid w:val="00DC437D"/>
    <w:rsid w:val="00DD3E88"/>
    <w:rsid w:val="00DE69E3"/>
    <w:rsid w:val="00DE7632"/>
    <w:rsid w:val="00DF4245"/>
    <w:rsid w:val="00DF51A0"/>
    <w:rsid w:val="00E0121C"/>
    <w:rsid w:val="00E04C9C"/>
    <w:rsid w:val="00E22ACC"/>
    <w:rsid w:val="00E25B66"/>
    <w:rsid w:val="00E80369"/>
    <w:rsid w:val="00E870D3"/>
    <w:rsid w:val="00E954DA"/>
    <w:rsid w:val="00EB77CD"/>
    <w:rsid w:val="00ED1139"/>
    <w:rsid w:val="00ED3F76"/>
    <w:rsid w:val="00EE055A"/>
    <w:rsid w:val="00EE7852"/>
    <w:rsid w:val="00F00D01"/>
    <w:rsid w:val="00F00F69"/>
    <w:rsid w:val="00F23984"/>
    <w:rsid w:val="00F25EFB"/>
    <w:rsid w:val="00F3417E"/>
    <w:rsid w:val="00F50F90"/>
    <w:rsid w:val="00F54E0A"/>
    <w:rsid w:val="00F55095"/>
    <w:rsid w:val="00F605B9"/>
    <w:rsid w:val="00F668CB"/>
    <w:rsid w:val="00F803C0"/>
    <w:rsid w:val="00FA019B"/>
    <w:rsid w:val="00FA3AB3"/>
    <w:rsid w:val="00FB4996"/>
    <w:rsid w:val="00FC4F54"/>
    <w:rsid w:val="00FC6BEE"/>
    <w:rsid w:val="00FD453B"/>
    <w:rsid w:val="00FD5452"/>
    <w:rsid w:val="00FE1D95"/>
    <w:rsid w:val="00FE3F4E"/>
    <w:rsid w:val="00FF1F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49850D2-6E36-4387-9DFF-C42D80E7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before="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46"/>
    <w:pPr>
      <w:contextualSpacing/>
    </w:pPr>
    <w:rPr>
      <w:rFonts w:ascii="Arial" w:hAnsi="Arial"/>
      <w:sz w:val="20"/>
    </w:rPr>
  </w:style>
  <w:style w:type="paragraph" w:styleId="Heading1">
    <w:name w:val="heading 1"/>
    <w:basedOn w:val="Normal"/>
    <w:next w:val="Normal"/>
    <w:link w:val="Heading1Char"/>
    <w:uiPriority w:val="9"/>
    <w:qFormat/>
    <w:rsid w:val="00ED1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C130C1"/>
    <w:pPr>
      <w:spacing w:before="0"/>
    </w:pP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C130C1"/>
    <w:rPr>
      <w:color w:val="0000FF" w:themeColor="hyperlink"/>
      <w:u w:val="single"/>
    </w:rPr>
  </w:style>
  <w:style w:type="paragraph" w:styleId="ListParagraph">
    <w:name w:val="List Paragraph"/>
    <w:basedOn w:val="Normal"/>
    <w:uiPriority w:val="34"/>
    <w:qFormat/>
    <w:rsid w:val="00C130C1"/>
    <w:pPr>
      <w:spacing w:before="0" w:after="160" w:line="276" w:lineRule="auto"/>
      <w:ind w:left="720"/>
    </w:pPr>
    <w:rPr>
      <w:rFonts w:ascii="Calibri" w:eastAsia="Calibri" w:hAnsi="Calibri" w:cs="Times New Roman"/>
      <w:color w:val="000000"/>
      <w:sz w:val="22"/>
      <w:szCs w:val="20"/>
    </w:rPr>
  </w:style>
  <w:style w:type="paragraph" w:styleId="NormalWeb">
    <w:name w:val="Normal (Web)"/>
    <w:basedOn w:val="Normal"/>
    <w:uiPriority w:val="99"/>
    <w:unhideWhenUsed/>
    <w:rsid w:val="00C130C1"/>
    <w:pPr>
      <w:spacing w:before="100" w:beforeAutospacing="1" w:after="100" w:afterAutospacing="1"/>
      <w:contextualSpacing w:val="0"/>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C130C1"/>
    <w:pPr>
      <w:spacing w:before="0" w:after="200"/>
      <w:contextualSpacing w:val="0"/>
    </w:pPr>
    <w:rPr>
      <w:rFonts w:cs="Arial"/>
      <w:i/>
      <w:color w:val="002060"/>
      <w:szCs w:val="20"/>
      <w:u w:val="single"/>
    </w:rPr>
  </w:style>
  <w:style w:type="character" w:customStyle="1" w:styleId="CommentTextChar">
    <w:name w:val="Comment Text Char"/>
    <w:basedOn w:val="DefaultParagraphFont"/>
    <w:link w:val="CommentText"/>
    <w:uiPriority w:val="99"/>
    <w:rsid w:val="00C130C1"/>
    <w:rPr>
      <w:rFonts w:ascii="Arial" w:hAnsi="Arial" w:cs="Arial"/>
      <w:i/>
      <w:color w:val="002060"/>
      <w:sz w:val="20"/>
      <w:szCs w:val="20"/>
      <w:u w:val="single"/>
    </w:rPr>
  </w:style>
  <w:style w:type="table" w:styleId="TableGrid">
    <w:name w:val="Table Grid"/>
    <w:basedOn w:val="TableNormal"/>
    <w:uiPriority w:val="59"/>
    <w:rsid w:val="00DF51A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6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7C"/>
    <w:rPr>
      <w:rFonts w:ascii="Tahoma" w:hAnsi="Tahoma" w:cs="Tahoma"/>
      <w:sz w:val="16"/>
      <w:szCs w:val="16"/>
    </w:rPr>
  </w:style>
  <w:style w:type="character" w:styleId="PlaceholderText">
    <w:name w:val="Placeholder Text"/>
    <w:basedOn w:val="DefaultParagraphFont"/>
    <w:uiPriority w:val="99"/>
    <w:semiHidden/>
    <w:rsid w:val="001176C6"/>
    <w:rPr>
      <w:color w:val="808080"/>
    </w:rPr>
  </w:style>
  <w:style w:type="paragraph" w:styleId="Header">
    <w:name w:val="header"/>
    <w:basedOn w:val="Normal"/>
    <w:link w:val="HeaderChar"/>
    <w:semiHidden/>
    <w:unhideWhenUsed/>
    <w:rsid w:val="00527DB1"/>
    <w:pPr>
      <w:tabs>
        <w:tab w:val="center" w:pos="4536"/>
        <w:tab w:val="right" w:pos="9072"/>
      </w:tabs>
      <w:spacing w:before="0"/>
    </w:pPr>
  </w:style>
  <w:style w:type="character" w:customStyle="1" w:styleId="HeaderChar">
    <w:name w:val="Header Char"/>
    <w:basedOn w:val="DefaultParagraphFont"/>
    <w:link w:val="Header"/>
    <w:uiPriority w:val="99"/>
    <w:semiHidden/>
    <w:rsid w:val="00527DB1"/>
    <w:rPr>
      <w:rFonts w:ascii="Arial" w:hAnsi="Arial"/>
      <w:sz w:val="20"/>
    </w:rPr>
  </w:style>
  <w:style w:type="paragraph" w:styleId="Footer">
    <w:name w:val="footer"/>
    <w:basedOn w:val="Normal"/>
    <w:link w:val="FooterChar"/>
    <w:uiPriority w:val="99"/>
    <w:unhideWhenUsed/>
    <w:rsid w:val="00527DB1"/>
    <w:pPr>
      <w:tabs>
        <w:tab w:val="center" w:pos="4536"/>
        <w:tab w:val="right" w:pos="9072"/>
      </w:tabs>
      <w:spacing w:before="0"/>
    </w:pPr>
  </w:style>
  <w:style w:type="character" w:customStyle="1" w:styleId="FooterChar">
    <w:name w:val="Footer Char"/>
    <w:basedOn w:val="DefaultParagraphFont"/>
    <w:link w:val="Footer"/>
    <w:uiPriority w:val="99"/>
    <w:rsid w:val="00527DB1"/>
    <w:rPr>
      <w:rFonts w:ascii="Arial" w:hAnsi="Arial"/>
      <w:sz w:val="20"/>
    </w:rPr>
  </w:style>
  <w:style w:type="character" w:styleId="CommentReference">
    <w:name w:val="annotation reference"/>
    <w:basedOn w:val="DefaultParagraphFont"/>
    <w:uiPriority w:val="99"/>
    <w:semiHidden/>
    <w:unhideWhenUsed/>
    <w:rsid w:val="009523E0"/>
    <w:rPr>
      <w:sz w:val="18"/>
      <w:szCs w:val="18"/>
    </w:rPr>
  </w:style>
  <w:style w:type="paragraph" w:styleId="CommentSubject">
    <w:name w:val="annotation subject"/>
    <w:basedOn w:val="CommentText"/>
    <w:next w:val="CommentText"/>
    <w:link w:val="CommentSubjectChar"/>
    <w:uiPriority w:val="99"/>
    <w:semiHidden/>
    <w:unhideWhenUsed/>
    <w:rsid w:val="008853D7"/>
    <w:pPr>
      <w:spacing w:before="60" w:after="0"/>
      <w:contextualSpacing/>
    </w:pPr>
    <w:rPr>
      <w:rFonts w:cstheme="minorBidi"/>
      <w:b/>
      <w:bCs/>
      <w:i w:val="0"/>
      <w:color w:val="auto"/>
      <w:u w:val="none"/>
    </w:rPr>
  </w:style>
  <w:style w:type="character" w:customStyle="1" w:styleId="CommentSubjectChar">
    <w:name w:val="Comment Subject Char"/>
    <w:basedOn w:val="CommentTextChar"/>
    <w:link w:val="CommentSubject"/>
    <w:uiPriority w:val="99"/>
    <w:semiHidden/>
    <w:rsid w:val="008853D7"/>
    <w:rPr>
      <w:rFonts w:ascii="Arial" w:hAnsi="Arial" w:cs="Arial"/>
      <w:b/>
      <w:bCs/>
      <w:i/>
      <w:color w:val="002060"/>
      <w:sz w:val="20"/>
      <w:szCs w:val="20"/>
      <w:u w:val="single"/>
    </w:rPr>
  </w:style>
  <w:style w:type="paragraph" w:styleId="Revision">
    <w:name w:val="Revision"/>
    <w:hidden/>
    <w:uiPriority w:val="99"/>
    <w:semiHidden/>
    <w:rsid w:val="00410919"/>
    <w:pPr>
      <w:spacing w:before="0"/>
    </w:pPr>
    <w:rPr>
      <w:rFonts w:ascii="Arial" w:hAnsi="Arial"/>
      <w:sz w:val="20"/>
    </w:rPr>
  </w:style>
  <w:style w:type="character" w:customStyle="1" w:styleId="Heading1Char">
    <w:name w:val="Heading 1 Char"/>
    <w:basedOn w:val="DefaultParagraphFont"/>
    <w:link w:val="Heading1"/>
    <w:uiPriority w:val="9"/>
    <w:rsid w:val="00ED11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6857">
      <w:bodyDiv w:val="1"/>
      <w:marLeft w:val="0"/>
      <w:marRight w:val="0"/>
      <w:marTop w:val="0"/>
      <w:marBottom w:val="0"/>
      <w:divBdr>
        <w:top w:val="none" w:sz="0" w:space="0" w:color="auto"/>
        <w:left w:val="none" w:sz="0" w:space="0" w:color="auto"/>
        <w:bottom w:val="none" w:sz="0" w:space="0" w:color="auto"/>
        <w:right w:val="none" w:sz="0" w:space="0" w:color="auto"/>
      </w:divBdr>
    </w:div>
    <w:div w:id="148719762">
      <w:bodyDiv w:val="1"/>
      <w:marLeft w:val="0"/>
      <w:marRight w:val="0"/>
      <w:marTop w:val="0"/>
      <w:marBottom w:val="0"/>
      <w:divBdr>
        <w:top w:val="none" w:sz="0" w:space="0" w:color="auto"/>
        <w:left w:val="none" w:sz="0" w:space="0" w:color="auto"/>
        <w:bottom w:val="none" w:sz="0" w:space="0" w:color="auto"/>
        <w:right w:val="none" w:sz="0" w:space="0" w:color="auto"/>
      </w:divBdr>
    </w:div>
    <w:div w:id="1036126755">
      <w:bodyDiv w:val="1"/>
      <w:marLeft w:val="0"/>
      <w:marRight w:val="0"/>
      <w:marTop w:val="0"/>
      <w:marBottom w:val="0"/>
      <w:divBdr>
        <w:top w:val="none" w:sz="0" w:space="0" w:color="auto"/>
        <w:left w:val="none" w:sz="0" w:space="0" w:color="auto"/>
        <w:bottom w:val="none" w:sz="0" w:space="0" w:color="auto"/>
        <w:right w:val="none" w:sz="0" w:space="0" w:color="auto"/>
      </w:divBdr>
    </w:div>
    <w:div w:id="16853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rz\Documents\Toolbox-Fact-She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Toolbox-Fact-Sheet-template.dotx</Template>
  <TotalTime>0</TotalTime>
  <Pages>1</Pages>
  <Words>380</Words>
  <Characters>2169</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DIA</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Scherz</dc:creator>
  <cp:lastModifiedBy>Matthew May</cp:lastModifiedBy>
  <cp:revision>5</cp:revision>
  <cp:lastPrinted>2014-10-24T13:00:00Z</cp:lastPrinted>
  <dcterms:created xsi:type="dcterms:W3CDTF">2015-07-22T07:36:00Z</dcterms:created>
  <dcterms:modified xsi:type="dcterms:W3CDTF">2015-07-23T15:46:00Z</dcterms:modified>
</cp:coreProperties>
</file>