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139" w:rsidRDefault="00ED1139" w:rsidP="005B2D2D">
      <w:pPr>
        <w:spacing w:before="120" w:after="120"/>
        <w:rPr>
          <w:b/>
          <w:sz w:val="36"/>
          <w:szCs w:val="36"/>
        </w:rPr>
      </w:pPr>
      <w:r w:rsidRPr="00ED1139">
        <w:rPr>
          <w:b/>
          <w:sz w:val="36"/>
          <w:szCs w:val="36"/>
        </w:rPr>
        <w:t xml:space="preserve">Fact Sheet: </w:t>
      </w:r>
      <w:r w:rsidR="00CA0D45" w:rsidRPr="00CA0D45">
        <w:rPr>
          <w:b/>
          <w:sz w:val="36"/>
          <w:szCs w:val="36"/>
        </w:rPr>
        <w:t xml:space="preserve">Making a medicine – </w:t>
      </w:r>
      <w:r w:rsidR="00CA0D45">
        <w:rPr>
          <w:b/>
          <w:sz w:val="36"/>
          <w:szCs w:val="36"/>
        </w:rPr>
        <w:t>Safety surveillance and life-c</w:t>
      </w:r>
      <w:r w:rsidR="00CA0D45" w:rsidRPr="00CA0D45">
        <w:rPr>
          <w:b/>
          <w:sz w:val="36"/>
          <w:szCs w:val="36"/>
        </w:rPr>
        <w:t xml:space="preserve">ycle </w:t>
      </w:r>
      <w:r w:rsidR="00CA0D45">
        <w:rPr>
          <w:b/>
          <w:sz w:val="36"/>
          <w:szCs w:val="36"/>
        </w:rPr>
        <w:t>m</w:t>
      </w:r>
      <w:r w:rsidR="00CA0D45" w:rsidRPr="00CA0D45">
        <w:rPr>
          <w:b/>
          <w:sz w:val="36"/>
          <w:szCs w:val="36"/>
        </w:rPr>
        <w:t>anagement</w:t>
      </w:r>
    </w:p>
    <w:p w:rsidR="005B2D2D" w:rsidRDefault="005B2D2D" w:rsidP="005B2D2D">
      <w:pPr>
        <w:spacing w:before="120" w:after="120"/>
        <w:rPr>
          <w:b/>
          <w:sz w:val="36"/>
          <w:szCs w:val="36"/>
        </w:rPr>
      </w:pPr>
    </w:p>
    <w:p w:rsidR="00CA0D45" w:rsidRPr="00CA0D45" w:rsidRDefault="00CA0D45" w:rsidP="00CA0D45">
      <w:pPr>
        <w:widowControl w:val="0"/>
        <w:shd w:val="clear" w:color="auto" w:fill="FFFFFF"/>
        <w:spacing w:before="100" w:beforeAutospacing="1" w:after="225" w:line="300" w:lineRule="atLeast"/>
        <w:rPr>
          <w:rFonts w:eastAsia="Times New Roman" w:cs="Arial"/>
          <w:b/>
          <w:sz w:val="22"/>
          <w:szCs w:val="20"/>
          <w:lang w:eastAsia="en-GB"/>
        </w:rPr>
      </w:pPr>
      <w:r w:rsidRPr="00CA0D45">
        <w:rPr>
          <w:rFonts w:eastAsia="Times New Roman" w:cs="Arial"/>
          <w:b/>
          <w:sz w:val="22"/>
          <w:szCs w:val="20"/>
          <w:lang w:eastAsia="en-GB"/>
        </w:rPr>
        <w:t>Marketing and post-marketing safety surveillance</w:t>
      </w:r>
    </w:p>
    <w:p w:rsidR="00CA0D45" w:rsidRDefault="00CA0D45" w:rsidP="00CA0D45">
      <w:pPr>
        <w:widowControl w:val="0"/>
        <w:shd w:val="clear" w:color="auto" w:fill="FFFFFF"/>
        <w:spacing w:before="100" w:beforeAutospacing="1" w:after="225" w:line="300" w:lineRule="atLeast"/>
        <w:rPr>
          <w:rFonts w:eastAsia="Times New Roman" w:cs="Arial"/>
          <w:sz w:val="22"/>
          <w:szCs w:val="20"/>
          <w:lang w:eastAsia="en-GB"/>
        </w:rPr>
      </w:pPr>
      <w:r w:rsidRPr="00CA0D45">
        <w:rPr>
          <w:rFonts w:eastAsia="Times New Roman" w:cs="Arial"/>
          <w:sz w:val="22"/>
          <w:szCs w:val="20"/>
          <w:lang w:eastAsia="en-GB"/>
        </w:rPr>
        <w:t xml:space="preserve">The marketing process involves sharing the information about the new medicine with doctors and </w:t>
      </w:r>
      <w:r>
        <w:rPr>
          <w:rFonts w:eastAsia="Times New Roman" w:cs="Arial"/>
          <w:sz w:val="22"/>
          <w:szCs w:val="20"/>
          <w:lang w:eastAsia="en-GB"/>
        </w:rPr>
        <w:t>other health care professionals</w:t>
      </w:r>
      <w:r w:rsidRPr="00CA0D45">
        <w:rPr>
          <w:rFonts w:eastAsia="Times New Roman" w:cs="Arial"/>
          <w:sz w:val="22"/>
          <w:szCs w:val="20"/>
          <w:lang w:eastAsia="en-GB"/>
        </w:rPr>
        <w:t xml:space="preserve"> so that they </w:t>
      </w:r>
      <w:r>
        <w:rPr>
          <w:rFonts w:eastAsia="Times New Roman" w:cs="Arial"/>
          <w:sz w:val="22"/>
          <w:szCs w:val="20"/>
          <w:lang w:eastAsia="en-GB"/>
        </w:rPr>
        <w:t>are</w:t>
      </w:r>
      <w:r w:rsidRPr="00CA0D45">
        <w:rPr>
          <w:rFonts w:eastAsia="Times New Roman" w:cs="Arial"/>
          <w:sz w:val="22"/>
          <w:szCs w:val="20"/>
          <w:lang w:eastAsia="en-GB"/>
        </w:rPr>
        <w:t xml:space="preserve"> aware of the effects of the new medicine, and may prescribe it in cases where they believe patients can benefit</w:t>
      </w:r>
      <w:r w:rsidRPr="00CA0D45">
        <w:rPr>
          <w:rFonts w:eastAsia="Times New Roman" w:cs="Arial"/>
          <w:sz w:val="22"/>
          <w:szCs w:val="20"/>
          <w:lang w:eastAsia="en-GB"/>
        </w:rPr>
        <w:t xml:space="preserve">. </w:t>
      </w:r>
    </w:p>
    <w:p w:rsidR="00CA0D45" w:rsidRPr="00CA0D45" w:rsidRDefault="00CA0D45" w:rsidP="00CA0D45">
      <w:pPr>
        <w:widowControl w:val="0"/>
        <w:shd w:val="clear" w:color="auto" w:fill="FFFFFF"/>
        <w:spacing w:before="100" w:beforeAutospacing="1" w:after="225" w:line="300" w:lineRule="atLeast"/>
        <w:rPr>
          <w:rFonts w:eastAsia="Times New Roman" w:cs="Arial"/>
          <w:sz w:val="22"/>
          <w:szCs w:val="20"/>
          <w:lang w:eastAsia="en-GB"/>
        </w:rPr>
      </w:pPr>
    </w:p>
    <w:p w:rsidR="00CA0D45" w:rsidRPr="00CA0D45" w:rsidRDefault="00CA0D45" w:rsidP="00CA0D45">
      <w:pPr>
        <w:widowControl w:val="0"/>
        <w:shd w:val="clear" w:color="auto" w:fill="FFFFFF"/>
        <w:spacing w:before="100" w:beforeAutospacing="1" w:after="225" w:line="300" w:lineRule="atLeast"/>
        <w:rPr>
          <w:rFonts w:eastAsia="Times New Roman" w:cs="Arial"/>
          <w:sz w:val="22"/>
          <w:szCs w:val="20"/>
          <w:lang w:eastAsia="en-GB"/>
        </w:rPr>
      </w:pPr>
      <w:r w:rsidRPr="00CA0D45">
        <w:rPr>
          <w:rFonts w:eastAsia="Times New Roman" w:cs="Arial"/>
          <w:sz w:val="22"/>
          <w:szCs w:val="20"/>
          <w:lang w:eastAsia="en-GB"/>
        </w:rPr>
        <w:t>However, the development process does not stop there. There is still a need to collect and analyse the information about the safety of the medicine when it is used in ‘real</w:t>
      </w:r>
      <w:r w:rsidRPr="00CA0D45">
        <w:rPr>
          <w:rFonts w:eastAsia="Times New Roman" w:cs="Arial"/>
          <w:sz w:val="22"/>
          <w:szCs w:val="20"/>
          <w:lang w:eastAsia="en-GB"/>
        </w:rPr>
        <w:noBreakHyphen/>
        <w:t>life’ (called pharmacovigilance). This is because:</w:t>
      </w:r>
    </w:p>
    <w:p w:rsidR="00CA0D45" w:rsidRPr="00CA0D45" w:rsidRDefault="00CA0D45" w:rsidP="00CA0D45">
      <w:pPr>
        <w:pStyle w:val="ListParagraph"/>
        <w:widowControl w:val="0"/>
        <w:numPr>
          <w:ilvl w:val="0"/>
          <w:numId w:val="13"/>
        </w:numPr>
        <w:shd w:val="clear" w:color="auto" w:fill="FFFFFF"/>
        <w:spacing w:before="100" w:beforeAutospacing="1" w:after="225" w:line="300" w:lineRule="atLeast"/>
        <w:rPr>
          <w:rFonts w:ascii="Arial" w:eastAsia="Times New Roman" w:hAnsi="Arial" w:cs="Arial"/>
          <w:lang w:eastAsia="en-GB"/>
        </w:rPr>
      </w:pPr>
      <w:r w:rsidRPr="00CA0D45">
        <w:rPr>
          <w:rFonts w:ascii="Arial" w:eastAsia="Times New Roman" w:hAnsi="Arial" w:cs="Arial"/>
          <w:lang w:eastAsia="en-GB"/>
        </w:rPr>
        <w:t xml:space="preserve">In clinical trials (which are designed to give clear answers), patients ideally only have the illness being studied and are not taking any other medicines. </w:t>
      </w:r>
    </w:p>
    <w:p w:rsidR="00CA0D45" w:rsidRPr="00CA0D45" w:rsidRDefault="00CA0D45" w:rsidP="00CA0D45">
      <w:pPr>
        <w:pStyle w:val="ListParagraph"/>
        <w:widowControl w:val="0"/>
        <w:numPr>
          <w:ilvl w:val="0"/>
          <w:numId w:val="13"/>
        </w:numPr>
        <w:shd w:val="clear" w:color="auto" w:fill="FFFFFF"/>
        <w:spacing w:before="100" w:beforeAutospacing="1" w:after="225" w:line="300" w:lineRule="atLeast"/>
        <w:rPr>
          <w:rFonts w:ascii="Arial" w:eastAsia="Times New Roman" w:hAnsi="Arial" w:cs="Arial"/>
          <w:lang w:eastAsia="en-GB"/>
        </w:rPr>
      </w:pPr>
      <w:r w:rsidRPr="00CA0D45">
        <w:rPr>
          <w:rFonts w:ascii="Arial" w:eastAsia="Times New Roman" w:hAnsi="Arial" w:cs="Arial"/>
          <w:lang w:eastAsia="en-GB"/>
        </w:rPr>
        <w:t>In real-life, a large number of patients take the new medicine. They may have several other illnesses and take a variety of other medicines.</w:t>
      </w:r>
    </w:p>
    <w:p w:rsidR="00CA0D45" w:rsidRDefault="00CA0D45" w:rsidP="00CA0D45">
      <w:pPr>
        <w:widowControl w:val="0"/>
        <w:shd w:val="clear" w:color="auto" w:fill="FFFFFF"/>
        <w:spacing w:before="100" w:beforeAutospacing="1" w:after="225" w:line="300" w:lineRule="atLeast"/>
        <w:rPr>
          <w:rFonts w:eastAsia="Times New Roman" w:cs="Arial"/>
          <w:sz w:val="22"/>
          <w:szCs w:val="20"/>
          <w:lang w:eastAsia="en-GB"/>
        </w:rPr>
      </w:pPr>
      <w:r w:rsidRPr="00CA0D45">
        <w:rPr>
          <w:rFonts w:eastAsia="Times New Roman" w:cs="Arial"/>
          <w:sz w:val="22"/>
          <w:szCs w:val="20"/>
          <w:lang w:eastAsia="en-GB"/>
        </w:rPr>
        <w:t xml:space="preserve">Both the clinical trials and real-life data are necessary to fully understand the real benefit-risk relationship. </w:t>
      </w:r>
    </w:p>
    <w:p w:rsidR="00CA0D45" w:rsidRPr="00CA0D45" w:rsidRDefault="00CA0D45" w:rsidP="00CA0D45">
      <w:pPr>
        <w:widowControl w:val="0"/>
        <w:shd w:val="clear" w:color="auto" w:fill="FFFFFF"/>
        <w:spacing w:before="100" w:beforeAutospacing="1" w:after="225" w:line="300" w:lineRule="atLeast"/>
        <w:rPr>
          <w:rFonts w:eastAsia="Times New Roman" w:cs="Arial"/>
          <w:sz w:val="22"/>
          <w:szCs w:val="20"/>
          <w:lang w:eastAsia="en-GB"/>
        </w:rPr>
      </w:pPr>
    </w:p>
    <w:p w:rsidR="00CA0D45" w:rsidRPr="00CA0D45" w:rsidRDefault="00CA0D45" w:rsidP="00CA0D45">
      <w:pPr>
        <w:shd w:val="clear" w:color="auto" w:fill="FFFFFF"/>
        <w:spacing w:before="100" w:beforeAutospacing="1" w:after="225" w:line="300" w:lineRule="atLeast"/>
        <w:rPr>
          <w:rFonts w:eastAsia="Times New Roman" w:cs="Arial"/>
          <w:b/>
          <w:sz w:val="22"/>
          <w:szCs w:val="20"/>
          <w:lang w:eastAsia="en-GB"/>
        </w:rPr>
      </w:pPr>
      <w:r w:rsidRPr="00CA0D45">
        <w:rPr>
          <w:rFonts w:eastAsia="Times New Roman" w:cs="Arial"/>
          <w:b/>
          <w:sz w:val="22"/>
          <w:szCs w:val="20"/>
          <w:lang w:eastAsia="en-GB"/>
        </w:rPr>
        <w:t>Life-cycle Management.</w:t>
      </w:r>
    </w:p>
    <w:p w:rsidR="00CA0D45" w:rsidRPr="00CA0D45" w:rsidRDefault="00CA0D45" w:rsidP="00CA0D45">
      <w:pPr>
        <w:shd w:val="clear" w:color="auto" w:fill="FFFFFF"/>
        <w:spacing w:before="100" w:beforeAutospacing="1" w:after="225" w:line="300" w:lineRule="atLeast"/>
        <w:rPr>
          <w:rFonts w:eastAsia="Times New Roman" w:cs="Arial"/>
          <w:sz w:val="22"/>
          <w:szCs w:val="20"/>
          <w:lang w:eastAsia="en-GB"/>
        </w:rPr>
      </w:pPr>
      <w:r w:rsidRPr="00CA0D45">
        <w:rPr>
          <w:rFonts w:eastAsia="Times New Roman" w:cs="Arial"/>
          <w:sz w:val="22"/>
          <w:szCs w:val="20"/>
          <w:lang w:eastAsia="en-GB"/>
        </w:rPr>
        <w:t>Finally, the development process continues to explore:</w:t>
      </w:r>
    </w:p>
    <w:p w:rsidR="00CA0D45" w:rsidRPr="00CA0D45" w:rsidRDefault="00CA0D45" w:rsidP="00CA0D45">
      <w:pPr>
        <w:pStyle w:val="ListParagraph"/>
        <w:numPr>
          <w:ilvl w:val="0"/>
          <w:numId w:val="14"/>
        </w:numPr>
        <w:shd w:val="clear" w:color="auto" w:fill="FFFFFF"/>
        <w:spacing w:before="100" w:beforeAutospacing="1" w:after="225" w:line="300" w:lineRule="atLeast"/>
        <w:rPr>
          <w:rFonts w:ascii="Arial" w:eastAsia="Times New Roman" w:hAnsi="Arial" w:cs="Arial"/>
          <w:lang w:eastAsia="en-GB"/>
        </w:rPr>
      </w:pPr>
      <w:proofErr w:type="gramStart"/>
      <w:r w:rsidRPr="00CA0D45">
        <w:rPr>
          <w:rFonts w:ascii="Arial" w:eastAsia="Times New Roman" w:hAnsi="Arial" w:cs="Arial"/>
          <w:lang w:eastAsia="en-GB"/>
        </w:rPr>
        <w:t>other</w:t>
      </w:r>
      <w:proofErr w:type="gramEnd"/>
      <w:r w:rsidRPr="00CA0D45">
        <w:rPr>
          <w:rFonts w:ascii="Arial" w:eastAsia="Times New Roman" w:hAnsi="Arial" w:cs="Arial"/>
          <w:lang w:eastAsia="en-GB"/>
        </w:rPr>
        <w:t xml:space="preserve"> possible uses (indications) for the medicine. For example, if the initial use was for patients with asthma, a new indication might be for patients with a different type of lung disease, e.g. chronic obstructive pulmonary disease.</w:t>
      </w:r>
    </w:p>
    <w:p w:rsidR="00CA0D45" w:rsidRPr="00CA0D45" w:rsidRDefault="00CA0D45" w:rsidP="00CA0D45">
      <w:pPr>
        <w:pStyle w:val="ListParagraph"/>
        <w:numPr>
          <w:ilvl w:val="0"/>
          <w:numId w:val="14"/>
        </w:numPr>
        <w:shd w:val="clear" w:color="auto" w:fill="FFFFFF"/>
        <w:spacing w:before="100" w:beforeAutospacing="1" w:after="225" w:line="300" w:lineRule="atLeast"/>
        <w:rPr>
          <w:rFonts w:ascii="Arial" w:eastAsia="Times New Roman" w:hAnsi="Arial" w:cs="Arial"/>
          <w:lang w:eastAsia="en-GB"/>
        </w:rPr>
      </w:pPr>
      <w:proofErr w:type="gramStart"/>
      <w:r w:rsidRPr="00CA0D45">
        <w:rPr>
          <w:rFonts w:ascii="Arial" w:eastAsia="Times New Roman" w:hAnsi="Arial" w:cs="Arial"/>
          <w:lang w:eastAsia="en-GB"/>
        </w:rPr>
        <w:t>improved</w:t>
      </w:r>
      <w:proofErr w:type="gramEnd"/>
      <w:r w:rsidRPr="00CA0D45">
        <w:rPr>
          <w:rFonts w:ascii="Arial" w:eastAsia="Times New Roman" w:hAnsi="Arial" w:cs="Arial"/>
          <w:lang w:eastAsia="en-GB"/>
        </w:rPr>
        <w:t xml:space="preserve"> ways of making and using the medicine (new formulations). For example, a special formulation for children. </w:t>
      </w:r>
    </w:p>
    <w:p w:rsidR="00CA0D45" w:rsidRPr="00CA0D45" w:rsidRDefault="00CA0D45" w:rsidP="00CA0D45">
      <w:pPr>
        <w:shd w:val="clear" w:color="auto" w:fill="FFFFFF"/>
        <w:spacing w:before="100" w:beforeAutospacing="1" w:after="225" w:line="300" w:lineRule="atLeast"/>
        <w:rPr>
          <w:rFonts w:eastAsia="Times New Roman" w:cs="Arial"/>
          <w:sz w:val="22"/>
          <w:szCs w:val="20"/>
          <w:lang w:eastAsia="en-GB"/>
        </w:rPr>
      </w:pPr>
      <w:r w:rsidRPr="00CA0D45">
        <w:rPr>
          <w:rFonts w:eastAsia="Times New Roman" w:cs="Arial"/>
          <w:sz w:val="22"/>
          <w:szCs w:val="20"/>
          <w:lang w:eastAsia="en-GB"/>
        </w:rPr>
        <w:t xml:space="preserve">All of these activities are known as ‘life-cycle management’. </w:t>
      </w:r>
    </w:p>
    <w:p w:rsidR="00CA0D45" w:rsidRDefault="00CA0D45" w:rsidP="00CA0D45">
      <w:pPr>
        <w:shd w:val="clear" w:color="auto" w:fill="FFFFFF"/>
        <w:spacing w:before="100" w:beforeAutospacing="1" w:after="225" w:line="300" w:lineRule="atLeast"/>
        <w:rPr>
          <w:rFonts w:eastAsia="Times New Roman" w:cs="Arial"/>
          <w:b/>
          <w:sz w:val="22"/>
          <w:szCs w:val="20"/>
          <w:lang w:eastAsia="en-GB"/>
        </w:rPr>
      </w:pPr>
    </w:p>
    <w:p w:rsidR="00CA0D45" w:rsidRPr="00CA0D45" w:rsidRDefault="00CA0D45" w:rsidP="00CA0D45">
      <w:pPr>
        <w:shd w:val="clear" w:color="auto" w:fill="FFFFFF"/>
        <w:spacing w:before="100" w:beforeAutospacing="1" w:after="225" w:line="300" w:lineRule="atLeast"/>
        <w:rPr>
          <w:rFonts w:eastAsia="Times New Roman" w:cs="Arial"/>
          <w:b/>
          <w:sz w:val="22"/>
          <w:szCs w:val="20"/>
          <w:lang w:eastAsia="en-GB"/>
        </w:rPr>
      </w:pPr>
      <w:r>
        <w:rPr>
          <w:rFonts w:eastAsia="Times New Roman" w:cs="Arial"/>
          <w:b/>
          <w:sz w:val="22"/>
          <w:szCs w:val="20"/>
          <w:lang w:eastAsia="en-GB"/>
        </w:rPr>
        <w:t xml:space="preserve">Other changes in the life </w:t>
      </w:r>
      <w:r w:rsidRPr="00CA0D45">
        <w:rPr>
          <w:rFonts w:eastAsia="Times New Roman" w:cs="Arial"/>
          <w:b/>
          <w:sz w:val="22"/>
          <w:szCs w:val="20"/>
          <w:lang w:eastAsia="en-GB"/>
        </w:rPr>
        <w:t>cycle of a medicine</w:t>
      </w:r>
    </w:p>
    <w:p w:rsidR="00CA0D45" w:rsidRPr="00CA0D45" w:rsidRDefault="00CA0D45" w:rsidP="00CA0D45">
      <w:pPr>
        <w:shd w:val="clear" w:color="auto" w:fill="FFFFFF"/>
        <w:spacing w:before="100" w:beforeAutospacing="1" w:after="225" w:line="300" w:lineRule="atLeast"/>
        <w:rPr>
          <w:rFonts w:eastAsia="Times New Roman" w:cs="Arial"/>
          <w:sz w:val="22"/>
          <w:szCs w:val="20"/>
          <w:lang w:eastAsia="en-GB"/>
        </w:rPr>
      </w:pPr>
      <w:r w:rsidRPr="00CA0D45">
        <w:rPr>
          <w:rFonts w:eastAsia="Times New Roman" w:cs="Arial"/>
          <w:sz w:val="22"/>
          <w:szCs w:val="20"/>
          <w:lang w:eastAsia="en-GB"/>
        </w:rPr>
        <w:t>When a medicine is first marketed, it is protected by a ‘patent’. This means that other companies cannot market a similar medicine. At the end of the patent or data protection period other companies will manufacture and market the same product. When this happens, the product is called a ‘generic’</w:t>
      </w:r>
      <w:r>
        <w:rPr>
          <w:rFonts w:eastAsia="Times New Roman" w:cs="Arial"/>
          <w:sz w:val="22"/>
          <w:szCs w:val="20"/>
          <w:lang w:eastAsia="en-GB"/>
        </w:rPr>
        <w:t xml:space="preserve"> or, </w:t>
      </w:r>
      <w:r w:rsidRPr="00CA0D45">
        <w:rPr>
          <w:rFonts w:eastAsia="Times New Roman" w:cs="Arial"/>
          <w:sz w:val="22"/>
          <w:szCs w:val="20"/>
          <w:lang w:eastAsia="en-GB"/>
        </w:rPr>
        <w:t>in the</w:t>
      </w:r>
      <w:r>
        <w:rPr>
          <w:rFonts w:eastAsia="Times New Roman" w:cs="Arial"/>
          <w:sz w:val="22"/>
          <w:szCs w:val="20"/>
          <w:lang w:eastAsia="en-GB"/>
        </w:rPr>
        <w:t xml:space="preserve"> case of a biologic product, a ‘biosimilar’.</w:t>
      </w:r>
    </w:p>
    <w:p w:rsidR="00C84033" w:rsidRPr="00CA0D45" w:rsidRDefault="00CA0D45" w:rsidP="00CA0D45">
      <w:pPr>
        <w:shd w:val="clear" w:color="auto" w:fill="FFFFFF"/>
        <w:spacing w:before="100" w:beforeAutospacing="1" w:after="225" w:line="300" w:lineRule="atLeast"/>
        <w:rPr>
          <w:rFonts w:eastAsia="Times New Roman" w:cs="Arial"/>
          <w:sz w:val="22"/>
          <w:szCs w:val="20"/>
          <w:lang w:eastAsia="en-GB"/>
        </w:rPr>
      </w:pPr>
      <w:r w:rsidRPr="00CA0D45">
        <w:rPr>
          <w:rFonts w:eastAsia="Times New Roman" w:cs="Arial"/>
          <w:sz w:val="22"/>
          <w:szCs w:val="20"/>
          <w:lang w:eastAsia="en-GB"/>
        </w:rPr>
        <w:t xml:space="preserve">New medicines are usually licensed as Prescription-Only Medicines (POM). This means that healthcare professionals can supervise their use in the first few years. Where it is appropriate and safe to do so, the medicine can then be made available as an Over-The-Counter (OTC) medicine. This involves a change in the Regulatory status of the medicine and a new licence is required. Patients can buy the OTC medicine directly from a pharmacy or supermarket. </w:t>
      </w:r>
      <w:bookmarkStart w:id="0" w:name="_GoBack"/>
      <w:bookmarkEnd w:id="0"/>
    </w:p>
    <w:sectPr w:rsidR="00C84033" w:rsidRPr="00CA0D45" w:rsidSect="008F1493">
      <w:headerReference w:type="default" r:id="rId7"/>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AEA" w:rsidRDefault="00565AEA" w:rsidP="00527DB1">
      <w:pPr>
        <w:spacing w:before="0"/>
      </w:pPr>
      <w:r>
        <w:separator/>
      </w:r>
    </w:p>
  </w:endnote>
  <w:endnote w:type="continuationSeparator" w:id="0">
    <w:p w:rsidR="00565AEA" w:rsidRDefault="00565AEA" w:rsidP="00527DB1">
      <w:pPr>
        <w:spacing w:before="0"/>
      </w:pPr>
      <w:r>
        <w:continuationSeparator/>
      </w:r>
    </w:p>
  </w:endnote>
  <w:endnote w:type="continuationNotice" w:id="1">
    <w:p w:rsidR="00565AEA" w:rsidRDefault="00565AE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2516"/>
      <w:docPartObj>
        <w:docPartGallery w:val="Page Numbers (Bottom of Page)"/>
        <w:docPartUnique/>
      </w:docPartObj>
    </w:sdtPr>
    <w:sdtEndPr/>
    <w:sdtContent>
      <w:p w:rsidR="00FA019B" w:rsidRDefault="00ED1139" w:rsidP="00FA019B">
        <w:pPr>
          <w:pStyle w:val="Footer"/>
          <w:jc w:val="right"/>
        </w:pPr>
        <w:r w:rsidRPr="00ED1139">
          <w:rPr>
            <w:noProof/>
            <w:lang w:val="de-CH" w:eastAsia="de-CH"/>
          </w:rPr>
          <w:drawing>
            <wp:anchor distT="0" distB="0" distL="114300" distR="114300" simplePos="0" relativeHeight="251663360" behindDoc="0" locked="0" layoutInCell="1" allowOverlap="1">
              <wp:simplePos x="0" y="0"/>
              <wp:positionH relativeFrom="column">
                <wp:posOffset>-54763</wp:posOffset>
              </wp:positionH>
              <wp:positionV relativeFrom="paragraph">
                <wp:posOffset>-15519</wp:posOffset>
              </wp:positionV>
              <wp:extent cx="770992" cy="270662"/>
              <wp:effectExtent l="19050" t="0" r="0" b="0"/>
              <wp:wrapNone/>
              <wp:docPr id="6" name="Picture 1" descr="by-nc-sa.png"/>
              <wp:cNvGraphicFramePr/>
              <a:graphic xmlns:a="http://schemas.openxmlformats.org/drawingml/2006/main">
                <a:graphicData uri="http://schemas.openxmlformats.org/drawingml/2006/picture">
                  <pic:pic xmlns:pic="http://schemas.openxmlformats.org/drawingml/2006/picture">
                    <pic:nvPicPr>
                      <pic:cNvPr id="9" name="Picture 8" descr="by-nc-sa.png"/>
                      <pic:cNvPicPr>
                        <a:picLocks noChangeAspect="1"/>
                      </pic:cNvPicPr>
                    </pic:nvPicPr>
                    <pic:blipFill>
                      <a:blip r:embed="rId1" cstate="print"/>
                      <a:stretch>
                        <a:fillRect/>
                      </a:stretch>
                    </pic:blipFill>
                    <pic:spPr>
                      <a:xfrm>
                        <a:off x="0" y="0"/>
                        <a:ext cx="770992" cy="270662"/>
                      </a:xfrm>
                      <a:prstGeom prst="rect">
                        <a:avLst/>
                      </a:prstGeom>
                    </pic:spPr>
                  </pic:pic>
                </a:graphicData>
              </a:graphic>
            </wp:anchor>
          </w:drawing>
        </w:r>
        <w:r w:rsidR="00BD5560">
          <w:fldChar w:fldCharType="begin"/>
        </w:r>
        <w:r w:rsidR="00BD5560">
          <w:instrText xml:space="preserve"> PAGE   \* MERGEFORMAT </w:instrText>
        </w:r>
        <w:r w:rsidR="00BD5560">
          <w:fldChar w:fldCharType="separate"/>
        </w:r>
        <w:r w:rsidR="00CA0D45">
          <w:rPr>
            <w:noProof/>
          </w:rPr>
          <w:t>1</w:t>
        </w:r>
        <w:r w:rsidR="00BD5560">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AEA" w:rsidRDefault="00565AEA" w:rsidP="00527DB1">
      <w:pPr>
        <w:spacing w:before="0"/>
      </w:pPr>
      <w:r>
        <w:separator/>
      </w:r>
    </w:p>
  </w:footnote>
  <w:footnote w:type="continuationSeparator" w:id="0">
    <w:p w:rsidR="00565AEA" w:rsidRDefault="00565AEA" w:rsidP="00527DB1">
      <w:pPr>
        <w:spacing w:before="0"/>
      </w:pPr>
      <w:r>
        <w:continuationSeparator/>
      </w:r>
    </w:p>
  </w:footnote>
  <w:footnote w:type="continuationNotice" w:id="1">
    <w:p w:rsidR="00565AEA" w:rsidRDefault="00565AEA">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135" w:rsidRDefault="002E7650" w:rsidP="00FA019B">
    <w:pPr>
      <w:pStyle w:val="Header"/>
      <w:tabs>
        <w:tab w:val="clear" w:pos="9072"/>
        <w:tab w:val="left" w:pos="1279"/>
        <w:tab w:val="right" w:pos="9070"/>
      </w:tabs>
    </w:pPr>
    <w:r>
      <w:rPr>
        <w:noProof/>
        <w:lang w:val="de-CH" w:eastAsia="de-CH"/>
      </w:rPr>
      <mc:AlternateContent>
        <mc:Choice Requires="wps">
          <w:drawing>
            <wp:anchor distT="0" distB="0" distL="114300" distR="114300" simplePos="0" relativeHeight="251664384" behindDoc="0" locked="0" layoutInCell="1" allowOverlap="1">
              <wp:simplePos x="0" y="0"/>
              <wp:positionH relativeFrom="column">
                <wp:posOffset>1206500</wp:posOffset>
              </wp:positionH>
              <wp:positionV relativeFrom="paragraph">
                <wp:posOffset>441325</wp:posOffset>
              </wp:positionV>
              <wp:extent cx="1388745" cy="241935"/>
              <wp:effectExtent l="0" t="3175" r="0" b="25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139" w:rsidRPr="00047E36" w:rsidRDefault="00ED1139" w:rsidP="00ED1139">
                          <w:pPr>
                            <w:pStyle w:val="Footer"/>
                          </w:pPr>
                          <w:r w:rsidRPr="00047E36">
                            <w:t>http://www.eupati.eu</w:t>
                          </w:r>
                        </w:p>
                        <w:p w:rsidR="00ED1139" w:rsidRDefault="00ED11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5pt;margin-top:34.75pt;width:109.35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QqT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" filled="f" stroked="f">
              <v:textbox>
                <w:txbxContent>
                  <w:p w:rsidR="00ED1139" w:rsidRPr="00047E36" w:rsidRDefault="00ED1139" w:rsidP="00ED1139">
                    <w:pPr>
                      <w:pStyle w:val="Footer"/>
                    </w:pPr>
                    <w:r w:rsidRPr="00047E36">
                      <w:t>http://www.eupati.eu</w:t>
                    </w:r>
                  </w:p>
                  <w:p w:rsidR="00ED1139" w:rsidRDefault="00ED1139"/>
                </w:txbxContent>
              </v:textbox>
            </v:shape>
          </w:pict>
        </mc:Fallback>
      </mc:AlternateContent>
    </w:r>
    <w:r>
      <w:rPr>
        <w:noProof/>
        <w:lang w:val="de-CH" w:eastAsia="de-CH"/>
      </w:rPr>
      <mc:AlternateContent>
        <mc:Choice Requires="wps">
          <w:drawing>
            <wp:anchor distT="0" distB="0" distL="114300" distR="114300" simplePos="0" relativeHeight="251661312" behindDoc="0" locked="0" layoutInCell="1" allowOverlap="1">
              <wp:simplePos x="0" y="0"/>
              <wp:positionH relativeFrom="column">
                <wp:posOffset>1198880</wp:posOffset>
              </wp:positionH>
              <wp:positionV relativeFrom="paragraph">
                <wp:posOffset>20955</wp:posOffset>
              </wp:positionV>
              <wp:extent cx="2339340" cy="467995"/>
              <wp:effectExtent l="0"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19B" w:rsidRPr="00ED1139" w:rsidRDefault="00FA019B" w:rsidP="00ED1139">
                          <w:pPr>
                            <w:rPr>
                              <w:color w:val="551A8B"/>
                              <w:sz w:val="24"/>
                              <w:szCs w:val="12"/>
                              <w:lang w:val="en-IE"/>
                            </w:rPr>
                          </w:pPr>
                          <w:r w:rsidRPr="00047E36">
                            <w:rPr>
                              <w:sz w:val="24"/>
                              <w:szCs w:val="12"/>
                              <w:lang w:val="en-IE"/>
                            </w:rPr>
                            <w:t>European</w:t>
                          </w:r>
                          <w:r w:rsidRPr="00ED1139">
                            <w:rPr>
                              <w:color w:val="551A8B"/>
                              <w:sz w:val="24"/>
                              <w:szCs w:val="12"/>
                              <w:lang w:val="en-IE"/>
                            </w:rPr>
                            <w:t xml:space="preserve"> </w:t>
                          </w:r>
                          <w:r w:rsidRPr="00ED1139">
                            <w:rPr>
                              <w:color w:val="022F68"/>
                              <w:sz w:val="24"/>
                              <w:szCs w:val="12"/>
                              <w:lang w:val="en-IE"/>
                            </w:rPr>
                            <w:t>Patients’ Academy</w:t>
                          </w:r>
                          <w:r w:rsidR="00ED1139" w:rsidRPr="00ED1139">
                            <w:rPr>
                              <w:color w:val="551A8B"/>
                              <w:sz w:val="24"/>
                              <w:szCs w:val="12"/>
                              <w:lang w:val="en-IE"/>
                            </w:rPr>
                            <w:t xml:space="preserve"> </w:t>
                          </w:r>
                          <w:r w:rsidRPr="00047E36">
                            <w:rPr>
                              <w:sz w:val="24"/>
                              <w:szCs w:val="12"/>
                              <w:lang w:val="en-IE"/>
                            </w:rPr>
                            <w:t>on Therapeutic Innovation</w:t>
                          </w:r>
                        </w:p>
                        <w:p w:rsidR="00FA019B" w:rsidRPr="00ED1139" w:rsidRDefault="00FA019B" w:rsidP="00ED1139">
                          <w:pPr>
                            <w:rPr>
                              <w:sz w:val="24"/>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4.4pt;margin-top:1.65pt;width:184.2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c75tgIAAMA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" filled="f" stroked="f">
              <v:textbox>
                <w:txbxContent>
                  <w:p w:rsidR="00FA019B" w:rsidRPr="00ED1139" w:rsidRDefault="00FA019B" w:rsidP="00ED1139">
                    <w:pPr>
                      <w:rPr>
                        <w:color w:val="551A8B"/>
                        <w:sz w:val="24"/>
                        <w:szCs w:val="12"/>
                        <w:lang w:val="en-IE"/>
                      </w:rPr>
                    </w:pPr>
                    <w:r w:rsidRPr="00047E36">
                      <w:rPr>
                        <w:sz w:val="24"/>
                        <w:szCs w:val="12"/>
                        <w:lang w:val="en-IE"/>
                      </w:rPr>
                      <w:t>European</w:t>
                    </w:r>
                    <w:r w:rsidRPr="00ED1139">
                      <w:rPr>
                        <w:color w:val="551A8B"/>
                        <w:sz w:val="24"/>
                        <w:szCs w:val="12"/>
                        <w:lang w:val="en-IE"/>
                      </w:rPr>
                      <w:t xml:space="preserve"> </w:t>
                    </w:r>
                    <w:r w:rsidRPr="00ED1139">
                      <w:rPr>
                        <w:color w:val="022F68"/>
                        <w:sz w:val="24"/>
                        <w:szCs w:val="12"/>
                        <w:lang w:val="en-IE"/>
                      </w:rPr>
                      <w:t>Patients’ Academy</w:t>
                    </w:r>
                    <w:r w:rsidR="00ED1139" w:rsidRPr="00ED1139">
                      <w:rPr>
                        <w:color w:val="551A8B"/>
                        <w:sz w:val="24"/>
                        <w:szCs w:val="12"/>
                        <w:lang w:val="en-IE"/>
                      </w:rPr>
                      <w:t xml:space="preserve"> </w:t>
                    </w:r>
                    <w:r w:rsidRPr="00047E36">
                      <w:rPr>
                        <w:sz w:val="24"/>
                        <w:szCs w:val="12"/>
                        <w:lang w:val="en-IE"/>
                      </w:rPr>
                      <w:t>on Therapeutic Innovation</w:t>
                    </w:r>
                  </w:p>
                  <w:p w:rsidR="00FA019B" w:rsidRPr="00ED1139" w:rsidRDefault="00FA019B" w:rsidP="00ED1139">
                    <w:pPr>
                      <w:rPr>
                        <w:sz w:val="24"/>
                        <w:szCs w:val="12"/>
                      </w:rPr>
                    </w:pPr>
                  </w:p>
                </w:txbxContent>
              </v:textbox>
            </v:shape>
          </w:pict>
        </mc:Fallback>
      </mc:AlternateContent>
    </w:r>
    <w:r w:rsidR="00ED1139" w:rsidRPr="00ED1139">
      <w:rPr>
        <w:noProof/>
        <w:lang w:val="de-CH" w:eastAsia="de-CH"/>
      </w:rPr>
      <w:drawing>
        <wp:inline distT="0" distB="0" distL="0" distR="0">
          <wp:extent cx="1057238" cy="589658"/>
          <wp:effectExtent l="19050" t="0" r="0" b="0"/>
          <wp:docPr id="7" name="Bild 1" descr="Beschreibung: EUPATI-Logo-web-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EUPATI-Logo-web-update"/>
                  <pic:cNvPicPr>
                    <a:picLocks noChangeAspect="1" noChangeArrowheads="1"/>
                  </pic:cNvPicPr>
                </pic:nvPicPr>
                <pic:blipFill>
                  <a:blip r:embed="rId1"/>
                  <a:srcRect b="20216"/>
                  <a:stretch>
                    <a:fillRect/>
                  </a:stretch>
                </pic:blipFill>
                <pic:spPr bwMode="auto">
                  <a:xfrm>
                    <a:off x="0" y="0"/>
                    <a:ext cx="1055200" cy="588521"/>
                  </a:xfrm>
                  <a:prstGeom prst="rect">
                    <a:avLst/>
                  </a:prstGeom>
                  <a:noFill/>
                  <a:ln w="9525">
                    <a:noFill/>
                    <a:miter lim="800000"/>
                    <a:headEnd/>
                    <a:tailEnd/>
                  </a:ln>
                </pic:spPr>
              </pic:pic>
            </a:graphicData>
          </a:graphic>
        </wp:inline>
      </w:drawing>
    </w:r>
    <w:r w:rsidR="00FA019B">
      <w:tab/>
    </w:r>
    <w:r w:rsidR="00FA019B">
      <w:tab/>
    </w:r>
    <w:r w:rsidR="00FA019B">
      <w:tab/>
    </w:r>
  </w:p>
  <w:p w:rsidR="001C1135" w:rsidRDefault="001C1135">
    <w:pPr>
      <w:pStyle w:val="Header"/>
    </w:pPr>
  </w:p>
  <w:p w:rsidR="00047E36" w:rsidRDefault="00047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2D3E"/>
    <w:multiLevelType w:val="hybridMultilevel"/>
    <w:tmpl w:val="A8F8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9158C"/>
    <w:multiLevelType w:val="hybridMultilevel"/>
    <w:tmpl w:val="A858C1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91D3E8E"/>
    <w:multiLevelType w:val="hybridMultilevel"/>
    <w:tmpl w:val="3CC22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AF20A4"/>
    <w:multiLevelType w:val="hybridMultilevel"/>
    <w:tmpl w:val="F98E5E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9C5EA9"/>
    <w:multiLevelType w:val="hybridMultilevel"/>
    <w:tmpl w:val="788A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82A94"/>
    <w:multiLevelType w:val="multilevel"/>
    <w:tmpl w:val="3F32B6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133D6D"/>
    <w:multiLevelType w:val="hybridMultilevel"/>
    <w:tmpl w:val="9BD821C6"/>
    <w:lvl w:ilvl="0" w:tplc="2A38F960">
      <w:start w:val="200"/>
      <w:numFmt w:val="bullet"/>
      <w:lvlText w:val=""/>
      <w:lvlJc w:val="left"/>
      <w:pPr>
        <w:ind w:left="1060" w:hanging="70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5056D00"/>
    <w:multiLevelType w:val="hybridMultilevel"/>
    <w:tmpl w:val="DC9CEA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C2C1CFD"/>
    <w:multiLevelType w:val="hybridMultilevel"/>
    <w:tmpl w:val="A30A6A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4F750DCD"/>
    <w:multiLevelType w:val="hybridMultilevel"/>
    <w:tmpl w:val="3960A4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05873D9"/>
    <w:multiLevelType w:val="hybridMultilevel"/>
    <w:tmpl w:val="5AA0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29509C"/>
    <w:multiLevelType w:val="hybridMultilevel"/>
    <w:tmpl w:val="5C8C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A0186F"/>
    <w:multiLevelType w:val="hybridMultilevel"/>
    <w:tmpl w:val="1FF424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61553E4"/>
    <w:multiLevelType w:val="hybridMultilevel"/>
    <w:tmpl w:val="6F64B7E8"/>
    <w:lvl w:ilvl="0" w:tplc="3E0477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
  </w:num>
  <w:num w:numId="4">
    <w:abstractNumId w:val="4"/>
  </w:num>
  <w:num w:numId="5">
    <w:abstractNumId w:val="6"/>
  </w:num>
  <w:num w:numId="6">
    <w:abstractNumId w:val="13"/>
  </w:num>
  <w:num w:numId="7">
    <w:abstractNumId w:val="9"/>
  </w:num>
  <w:num w:numId="8">
    <w:abstractNumId w:val="10"/>
  </w:num>
  <w:num w:numId="9">
    <w:abstractNumId w:val="11"/>
  </w:num>
  <w:num w:numId="10">
    <w:abstractNumId w:val="5"/>
  </w:num>
  <w:num w:numId="11">
    <w:abstractNumId w:val="8"/>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45"/>
    <w:rsid w:val="00000666"/>
    <w:rsid w:val="00037816"/>
    <w:rsid w:val="0004195D"/>
    <w:rsid w:val="00047DAD"/>
    <w:rsid w:val="00047E36"/>
    <w:rsid w:val="0005038B"/>
    <w:rsid w:val="000559B8"/>
    <w:rsid w:val="00063556"/>
    <w:rsid w:val="00074E0E"/>
    <w:rsid w:val="00077E83"/>
    <w:rsid w:val="00082812"/>
    <w:rsid w:val="000A2B24"/>
    <w:rsid w:val="000E6FBC"/>
    <w:rsid w:val="000E7D37"/>
    <w:rsid w:val="000F3493"/>
    <w:rsid w:val="000F4ADA"/>
    <w:rsid w:val="001115FA"/>
    <w:rsid w:val="00112F4E"/>
    <w:rsid w:val="001176C6"/>
    <w:rsid w:val="00126514"/>
    <w:rsid w:val="00153753"/>
    <w:rsid w:val="001701AA"/>
    <w:rsid w:val="001928D4"/>
    <w:rsid w:val="001A06C5"/>
    <w:rsid w:val="001A6637"/>
    <w:rsid w:val="001C1135"/>
    <w:rsid w:val="001C11DC"/>
    <w:rsid w:val="001C1EC1"/>
    <w:rsid w:val="001D02FD"/>
    <w:rsid w:val="001E65BE"/>
    <w:rsid w:val="002042C5"/>
    <w:rsid w:val="002114E4"/>
    <w:rsid w:val="00222A6E"/>
    <w:rsid w:val="00274B8F"/>
    <w:rsid w:val="00280975"/>
    <w:rsid w:val="0029337E"/>
    <w:rsid w:val="002B4E86"/>
    <w:rsid w:val="002D4053"/>
    <w:rsid w:val="002E3270"/>
    <w:rsid w:val="002E7650"/>
    <w:rsid w:val="002F27F8"/>
    <w:rsid w:val="0033333B"/>
    <w:rsid w:val="003430FB"/>
    <w:rsid w:val="003440FF"/>
    <w:rsid w:val="00396DFD"/>
    <w:rsid w:val="003B2377"/>
    <w:rsid w:val="003C681E"/>
    <w:rsid w:val="003D3703"/>
    <w:rsid w:val="003D79A3"/>
    <w:rsid w:val="003F50D6"/>
    <w:rsid w:val="00410919"/>
    <w:rsid w:val="00410AC8"/>
    <w:rsid w:val="00411B09"/>
    <w:rsid w:val="00433D27"/>
    <w:rsid w:val="00455493"/>
    <w:rsid w:val="004B0D48"/>
    <w:rsid w:val="004B0F48"/>
    <w:rsid w:val="004C02B4"/>
    <w:rsid w:val="004F7058"/>
    <w:rsid w:val="00502880"/>
    <w:rsid w:val="00506943"/>
    <w:rsid w:val="00522128"/>
    <w:rsid w:val="00527DB1"/>
    <w:rsid w:val="00533052"/>
    <w:rsid w:val="0054367C"/>
    <w:rsid w:val="00556B6D"/>
    <w:rsid w:val="005608E5"/>
    <w:rsid w:val="00560E60"/>
    <w:rsid w:val="00565AEA"/>
    <w:rsid w:val="0057410A"/>
    <w:rsid w:val="00575AB1"/>
    <w:rsid w:val="00593FE8"/>
    <w:rsid w:val="005A7863"/>
    <w:rsid w:val="005B1018"/>
    <w:rsid w:val="005B1FFD"/>
    <w:rsid w:val="005B2D2D"/>
    <w:rsid w:val="005C29CD"/>
    <w:rsid w:val="005D3C98"/>
    <w:rsid w:val="005D7C96"/>
    <w:rsid w:val="00602F85"/>
    <w:rsid w:val="00616199"/>
    <w:rsid w:val="00621E44"/>
    <w:rsid w:val="00653E43"/>
    <w:rsid w:val="006706A4"/>
    <w:rsid w:val="00684D01"/>
    <w:rsid w:val="0069371A"/>
    <w:rsid w:val="00694B23"/>
    <w:rsid w:val="00696A72"/>
    <w:rsid w:val="006E6477"/>
    <w:rsid w:val="006F4AD1"/>
    <w:rsid w:val="00701A73"/>
    <w:rsid w:val="00737119"/>
    <w:rsid w:val="007621A4"/>
    <w:rsid w:val="007705E8"/>
    <w:rsid w:val="00782A28"/>
    <w:rsid w:val="007866C9"/>
    <w:rsid w:val="0079540F"/>
    <w:rsid w:val="007979F2"/>
    <w:rsid w:val="007B0543"/>
    <w:rsid w:val="007B39DB"/>
    <w:rsid w:val="007D24E4"/>
    <w:rsid w:val="007D5D30"/>
    <w:rsid w:val="007F5390"/>
    <w:rsid w:val="00810B4D"/>
    <w:rsid w:val="00830662"/>
    <w:rsid w:val="00842CF6"/>
    <w:rsid w:val="008853D7"/>
    <w:rsid w:val="008D1D06"/>
    <w:rsid w:val="008E036F"/>
    <w:rsid w:val="008E0A12"/>
    <w:rsid w:val="008E4C8E"/>
    <w:rsid w:val="008F0BC0"/>
    <w:rsid w:val="008F1493"/>
    <w:rsid w:val="00921DE1"/>
    <w:rsid w:val="00923AEC"/>
    <w:rsid w:val="00927316"/>
    <w:rsid w:val="009523E0"/>
    <w:rsid w:val="00957D2B"/>
    <w:rsid w:val="00962F21"/>
    <w:rsid w:val="009701A0"/>
    <w:rsid w:val="009731EF"/>
    <w:rsid w:val="0097365C"/>
    <w:rsid w:val="00986800"/>
    <w:rsid w:val="00992BE5"/>
    <w:rsid w:val="009A08B3"/>
    <w:rsid w:val="009B1789"/>
    <w:rsid w:val="009B1C86"/>
    <w:rsid w:val="009B23D0"/>
    <w:rsid w:val="009B766E"/>
    <w:rsid w:val="009E144B"/>
    <w:rsid w:val="00A03A51"/>
    <w:rsid w:val="00A43C6E"/>
    <w:rsid w:val="00A50E00"/>
    <w:rsid w:val="00A5288F"/>
    <w:rsid w:val="00A95B70"/>
    <w:rsid w:val="00AA25FD"/>
    <w:rsid w:val="00AA6ACC"/>
    <w:rsid w:val="00AA6BFA"/>
    <w:rsid w:val="00AE517C"/>
    <w:rsid w:val="00AF1AD7"/>
    <w:rsid w:val="00B22CC3"/>
    <w:rsid w:val="00B26228"/>
    <w:rsid w:val="00B27E46"/>
    <w:rsid w:val="00B631C2"/>
    <w:rsid w:val="00B72BDB"/>
    <w:rsid w:val="00BA5D8F"/>
    <w:rsid w:val="00BC194A"/>
    <w:rsid w:val="00BC767C"/>
    <w:rsid w:val="00BD5560"/>
    <w:rsid w:val="00BE0FEC"/>
    <w:rsid w:val="00BE669A"/>
    <w:rsid w:val="00C130C1"/>
    <w:rsid w:val="00C2703B"/>
    <w:rsid w:val="00C46A74"/>
    <w:rsid w:val="00C51DA5"/>
    <w:rsid w:val="00C53246"/>
    <w:rsid w:val="00C84033"/>
    <w:rsid w:val="00CA0D45"/>
    <w:rsid w:val="00CA2000"/>
    <w:rsid w:val="00CB506C"/>
    <w:rsid w:val="00CD508F"/>
    <w:rsid w:val="00CF53A1"/>
    <w:rsid w:val="00CF7C2C"/>
    <w:rsid w:val="00D0732B"/>
    <w:rsid w:val="00D176BB"/>
    <w:rsid w:val="00D22E6F"/>
    <w:rsid w:val="00D310EA"/>
    <w:rsid w:val="00D4122C"/>
    <w:rsid w:val="00D418B8"/>
    <w:rsid w:val="00D4452A"/>
    <w:rsid w:val="00D5131A"/>
    <w:rsid w:val="00D55908"/>
    <w:rsid w:val="00D9392E"/>
    <w:rsid w:val="00DA22AF"/>
    <w:rsid w:val="00DC0EEA"/>
    <w:rsid w:val="00DC437D"/>
    <w:rsid w:val="00DD3E88"/>
    <w:rsid w:val="00DE69E3"/>
    <w:rsid w:val="00DE7632"/>
    <w:rsid w:val="00DF4245"/>
    <w:rsid w:val="00DF51A0"/>
    <w:rsid w:val="00E0121C"/>
    <w:rsid w:val="00E04C9C"/>
    <w:rsid w:val="00E22ACC"/>
    <w:rsid w:val="00E80369"/>
    <w:rsid w:val="00E870D3"/>
    <w:rsid w:val="00E954DA"/>
    <w:rsid w:val="00EB77CD"/>
    <w:rsid w:val="00ED1139"/>
    <w:rsid w:val="00ED3F76"/>
    <w:rsid w:val="00EE055A"/>
    <w:rsid w:val="00EE7852"/>
    <w:rsid w:val="00F00D01"/>
    <w:rsid w:val="00F00F69"/>
    <w:rsid w:val="00F23984"/>
    <w:rsid w:val="00F25EFB"/>
    <w:rsid w:val="00F3417E"/>
    <w:rsid w:val="00F50F90"/>
    <w:rsid w:val="00F54E0A"/>
    <w:rsid w:val="00F55095"/>
    <w:rsid w:val="00F668CB"/>
    <w:rsid w:val="00F803C0"/>
    <w:rsid w:val="00FA019B"/>
    <w:rsid w:val="00FA3AB3"/>
    <w:rsid w:val="00FB4996"/>
    <w:rsid w:val="00FC4F54"/>
    <w:rsid w:val="00FC6BEE"/>
    <w:rsid w:val="00FD453B"/>
    <w:rsid w:val="00FD5452"/>
    <w:rsid w:val="00FE1D95"/>
    <w:rsid w:val="00FE3F4E"/>
    <w:rsid w:val="00FF1F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9A317E1-7B5C-45C5-A0E4-A734C64D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F46"/>
    <w:pPr>
      <w:contextualSpacing/>
    </w:pPr>
    <w:rPr>
      <w:rFonts w:ascii="Arial" w:hAnsi="Arial"/>
      <w:sz w:val="20"/>
    </w:rPr>
  </w:style>
  <w:style w:type="paragraph" w:styleId="Heading1">
    <w:name w:val="heading 1"/>
    <w:basedOn w:val="Normal"/>
    <w:next w:val="Normal"/>
    <w:link w:val="Heading1Char"/>
    <w:uiPriority w:val="9"/>
    <w:qFormat/>
    <w:rsid w:val="00ED11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Grid-Accent11">
    <w:name w:val="Light Grid - Accent 11"/>
    <w:basedOn w:val="TableNormal"/>
    <w:uiPriority w:val="62"/>
    <w:rsid w:val="00C130C1"/>
    <w:pPr>
      <w:spacing w:before="0"/>
    </w:pPr>
    <w:rPr>
      <w:lang w:val="en-I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C130C1"/>
    <w:rPr>
      <w:color w:val="0000FF" w:themeColor="hyperlink"/>
      <w:u w:val="single"/>
    </w:rPr>
  </w:style>
  <w:style w:type="paragraph" w:styleId="ListParagraph">
    <w:name w:val="List Paragraph"/>
    <w:basedOn w:val="Normal"/>
    <w:uiPriority w:val="34"/>
    <w:qFormat/>
    <w:rsid w:val="00C130C1"/>
    <w:pPr>
      <w:spacing w:before="0" w:after="160" w:line="276" w:lineRule="auto"/>
      <w:ind w:left="720"/>
    </w:pPr>
    <w:rPr>
      <w:rFonts w:ascii="Calibri" w:eastAsia="Calibri" w:hAnsi="Calibri" w:cs="Times New Roman"/>
      <w:color w:val="000000"/>
      <w:sz w:val="22"/>
      <w:szCs w:val="20"/>
      <w:lang w:val="en-US"/>
    </w:rPr>
  </w:style>
  <w:style w:type="paragraph" w:styleId="NormalWeb">
    <w:name w:val="Normal (Web)"/>
    <w:basedOn w:val="Normal"/>
    <w:uiPriority w:val="99"/>
    <w:unhideWhenUsed/>
    <w:rsid w:val="00C130C1"/>
    <w:pPr>
      <w:spacing w:before="100" w:beforeAutospacing="1" w:after="100" w:afterAutospacing="1"/>
      <w:contextualSpacing w:val="0"/>
    </w:pPr>
    <w:rPr>
      <w:rFonts w:ascii="Times New Roman" w:eastAsia="Times New Roman" w:hAnsi="Times New Roman" w:cs="Times New Roman"/>
      <w:sz w:val="24"/>
      <w:szCs w:val="24"/>
      <w:lang w:val="en-IE" w:eastAsia="en-IE"/>
    </w:rPr>
  </w:style>
  <w:style w:type="paragraph" w:styleId="CommentText">
    <w:name w:val="annotation text"/>
    <w:basedOn w:val="Normal"/>
    <w:link w:val="CommentTextChar"/>
    <w:uiPriority w:val="99"/>
    <w:unhideWhenUsed/>
    <w:rsid w:val="00C130C1"/>
    <w:pPr>
      <w:spacing w:before="0" w:after="200"/>
      <w:contextualSpacing w:val="0"/>
    </w:pPr>
    <w:rPr>
      <w:rFonts w:cs="Arial"/>
      <w:i/>
      <w:color w:val="002060"/>
      <w:szCs w:val="20"/>
      <w:u w:val="single"/>
      <w:lang w:val="en-IE"/>
    </w:rPr>
  </w:style>
  <w:style w:type="character" w:customStyle="1" w:styleId="CommentTextChar">
    <w:name w:val="Comment Text Char"/>
    <w:basedOn w:val="DefaultParagraphFont"/>
    <w:link w:val="CommentText"/>
    <w:uiPriority w:val="99"/>
    <w:rsid w:val="00C130C1"/>
    <w:rPr>
      <w:rFonts w:ascii="Arial" w:hAnsi="Arial" w:cs="Arial"/>
      <w:i/>
      <w:color w:val="002060"/>
      <w:sz w:val="20"/>
      <w:szCs w:val="20"/>
      <w:u w:val="single"/>
      <w:lang w:val="en-IE"/>
    </w:rPr>
  </w:style>
  <w:style w:type="table" w:styleId="TableGrid">
    <w:name w:val="Table Grid"/>
    <w:basedOn w:val="TableNormal"/>
    <w:uiPriority w:val="59"/>
    <w:rsid w:val="00DF51A0"/>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367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67C"/>
    <w:rPr>
      <w:rFonts w:ascii="Tahoma" w:hAnsi="Tahoma" w:cs="Tahoma"/>
      <w:sz w:val="16"/>
      <w:szCs w:val="16"/>
    </w:rPr>
  </w:style>
  <w:style w:type="character" w:styleId="PlaceholderText">
    <w:name w:val="Placeholder Text"/>
    <w:basedOn w:val="DefaultParagraphFont"/>
    <w:uiPriority w:val="99"/>
    <w:semiHidden/>
    <w:rsid w:val="001176C6"/>
    <w:rPr>
      <w:color w:val="808080"/>
    </w:rPr>
  </w:style>
  <w:style w:type="paragraph" w:styleId="Header">
    <w:name w:val="header"/>
    <w:basedOn w:val="Normal"/>
    <w:link w:val="HeaderChar"/>
    <w:semiHidden/>
    <w:unhideWhenUsed/>
    <w:rsid w:val="00527DB1"/>
    <w:pPr>
      <w:tabs>
        <w:tab w:val="center" w:pos="4536"/>
        <w:tab w:val="right" w:pos="9072"/>
      </w:tabs>
      <w:spacing w:before="0"/>
    </w:pPr>
  </w:style>
  <w:style w:type="character" w:customStyle="1" w:styleId="HeaderChar">
    <w:name w:val="Header Char"/>
    <w:basedOn w:val="DefaultParagraphFont"/>
    <w:link w:val="Header"/>
    <w:uiPriority w:val="99"/>
    <w:semiHidden/>
    <w:rsid w:val="00527DB1"/>
    <w:rPr>
      <w:rFonts w:ascii="Arial" w:hAnsi="Arial"/>
      <w:sz w:val="20"/>
    </w:rPr>
  </w:style>
  <w:style w:type="paragraph" w:styleId="Footer">
    <w:name w:val="footer"/>
    <w:basedOn w:val="Normal"/>
    <w:link w:val="FooterChar"/>
    <w:uiPriority w:val="99"/>
    <w:unhideWhenUsed/>
    <w:rsid w:val="00527DB1"/>
    <w:pPr>
      <w:tabs>
        <w:tab w:val="center" w:pos="4536"/>
        <w:tab w:val="right" w:pos="9072"/>
      </w:tabs>
      <w:spacing w:before="0"/>
    </w:pPr>
  </w:style>
  <w:style w:type="character" w:customStyle="1" w:styleId="FooterChar">
    <w:name w:val="Footer Char"/>
    <w:basedOn w:val="DefaultParagraphFont"/>
    <w:link w:val="Footer"/>
    <w:uiPriority w:val="99"/>
    <w:rsid w:val="00527DB1"/>
    <w:rPr>
      <w:rFonts w:ascii="Arial" w:hAnsi="Arial"/>
      <w:sz w:val="20"/>
    </w:rPr>
  </w:style>
  <w:style w:type="character" w:styleId="CommentReference">
    <w:name w:val="annotation reference"/>
    <w:basedOn w:val="DefaultParagraphFont"/>
    <w:uiPriority w:val="99"/>
    <w:semiHidden/>
    <w:unhideWhenUsed/>
    <w:rsid w:val="009523E0"/>
    <w:rPr>
      <w:sz w:val="18"/>
      <w:szCs w:val="18"/>
    </w:rPr>
  </w:style>
  <w:style w:type="paragraph" w:styleId="CommentSubject">
    <w:name w:val="annotation subject"/>
    <w:basedOn w:val="CommentText"/>
    <w:next w:val="CommentText"/>
    <w:link w:val="CommentSubjectChar"/>
    <w:uiPriority w:val="99"/>
    <w:semiHidden/>
    <w:unhideWhenUsed/>
    <w:rsid w:val="008853D7"/>
    <w:pPr>
      <w:spacing w:before="60" w:after="0"/>
      <w:contextualSpacing/>
    </w:pPr>
    <w:rPr>
      <w:rFonts w:cstheme="minorBidi"/>
      <w:b/>
      <w:bCs/>
      <w:i w:val="0"/>
      <w:color w:val="auto"/>
      <w:u w:val="none"/>
      <w:lang w:val="en-GB"/>
    </w:rPr>
  </w:style>
  <w:style w:type="character" w:customStyle="1" w:styleId="CommentSubjectChar">
    <w:name w:val="Comment Subject Char"/>
    <w:basedOn w:val="CommentTextChar"/>
    <w:link w:val="CommentSubject"/>
    <w:uiPriority w:val="99"/>
    <w:semiHidden/>
    <w:rsid w:val="008853D7"/>
    <w:rPr>
      <w:rFonts w:ascii="Arial" w:hAnsi="Arial" w:cs="Arial"/>
      <w:b/>
      <w:bCs/>
      <w:i/>
      <w:color w:val="002060"/>
      <w:sz w:val="20"/>
      <w:szCs w:val="20"/>
      <w:u w:val="single"/>
      <w:lang w:val="en-IE"/>
    </w:rPr>
  </w:style>
  <w:style w:type="paragraph" w:styleId="Revision">
    <w:name w:val="Revision"/>
    <w:hidden/>
    <w:uiPriority w:val="99"/>
    <w:semiHidden/>
    <w:rsid w:val="00410919"/>
    <w:pPr>
      <w:spacing w:before="0"/>
    </w:pPr>
    <w:rPr>
      <w:rFonts w:ascii="Arial" w:hAnsi="Arial"/>
      <w:sz w:val="20"/>
    </w:rPr>
  </w:style>
  <w:style w:type="character" w:customStyle="1" w:styleId="Heading1Char">
    <w:name w:val="Heading 1 Char"/>
    <w:basedOn w:val="DefaultParagraphFont"/>
    <w:link w:val="Heading1"/>
    <w:uiPriority w:val="9"/>
    <w:rsid w:val="00ED113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86857">
      <w:bodyDiv w:val="1"/>
      <w:marLeft w:val="0"/>
      <w:marRight w:val="0"/>
      <w:marTop w:val="0"/>
      <w:marBottom w:val="0"/>
      <w:divBdr>
        <w:top w:val="none" w:sz="0" w:space="0" w:color="auto"/>
        <w:left w:val="none" w:sz="0" w:space="0" w:color="auto"/>
        <w:bottom w:val="none" w:sz="0" w:space="0" w:color="auto"/>
        <w:right w:val="none" w:sz="0" w:space="0" w:color="auto"/>
      </w:divBdr>
    </w:div>
    <w:div w:id="148719762">
      <w:bodyDiv w:val="1"/>
      <w:marLeft w:val="0"/>
      <w:marRight w:val="0"/>
      <w:marTop w:val="0"/>
      <w:marBottom w:val="0"/>
      <w:divBdr>
        <w:top w:val="none" w:sz="0" w:space="0" w:color="auto"/>
        <w:left w:val="none" w:sz="0" w:space="0" w:color="auto"/>
        <w:bottom w:val="none" w:sz="0" w:space="0" w:color="auto"/>
        <w:right w:val="none" w:sz="0" w:space="0" w:color="auto"/>
      </w:divBdr>
    </w:div>
    <w:div w:id="1036126755">
      <w:bodyDiv w:val="1"/>
      <w:marLeft w:val="0"/>
      <w:marRight w:val="0"/>
      <w:marTop w:val="0"/>
      <w:marBottom w:val="0"/>
      <w:divBdr>
        <w:top w:val="none" w:sz="0" w:space="0" w:color="auto"/>
        <w:left w:val="none" w:sz="0" w:space="0" w:color="auto"/>
        <w:bottom w:val="none" w:sz="0" w:space="0" w:color="auto"/>
        <w:right w:val="none" w:sz="0" w:space="0" w:color="auto"/>
      </w:divBdr>
    </w:div>
    <w:div w:id="168532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erz\Documents\Toolbox-Fact-Shee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Toolbox-Fact-Sheet-template.dotx</Template>
  <TotalTime>0</TotalTime>
  <Pages>1</Pages>
  <Words>325</Words>
  <Characters>2049</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DIA</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Scherz</dc:creator>
  <cp:lastModifiedBy>Heidi Scherz</cp:lastModifiedBy>
  <cp:revision>1</cp:revision>
  <cp:lastPrinted>2014-10-24T13:00:00Z</cp:lastPrinted>
  <dcterms:created xsi:type="dcterms:W3CDTF">2015-07-22T13:42:00Z</dcterms:created>
  <dcterms:modified xsi:type="dcterms:W3CDTF">2015-07-22T13:48:00Z</dcterms:modified>
</cp:coreProperties>
</file>